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0C036D" w:rsidRPr="000C48E5" w14:paraId="3AF609C4" w14:textId="77777777" w:rsidTr="000C036D">
        <w:tc>
          <w:tcPr>
            <w:tcW w:w="4814" w:type="dxa"/>
          </w:tcPr>
          <w:p w14:paraId="2A488E08" w14:textId="77777777" w:rsidR="000C036D" w:rsidRPr="000C48E5" w:rsidRDefault="000C036D" w:rsidP="006A2A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14:paraId="25AADFC7" w14:textId="77777777" w:rsidR="000C036D" w:rsidRPr="000C48E5" w:rsidRDefault="000C036D" w:rsidP="000C036D">
            <w:pPr>
              <w:rPr>
                <w:bCs/>
                <w:sz w:val="28"/>
                <w:szCs w:val="28"/>
                <w:lang w:val="uk-UA"/>
              </w:rPr>
            </w:pPr>
            <w:r w:rsidRPr="000C48E5">
              <w:rPr>
                <w:bCs/>
                <w:sz w:val="28"/>
                <w:szCs w:val="28"/>
                <w:lang w:val="uk-UA"/>
              </w:rPr>
              <w:t xml:space="preserve">Додаток до рішення виконавчого комітету Ніжинської міської ради </w:t>
            </w:r>
          </w:p>
          <w:p w14:paraId="3C7DA37F" w14:textId="278990D4" w:rsidR="000C036D" w:rsidRPr="000C48E5" w:rsidRDefault="000C036D" w:rsidP="000C036D">
            <w:pPr>
              <w:rPr>
                <w:bCs/>
                <w:sz w:val="28"/>
                <w:szCs w:val="28"/>
                <w:lang w:val="uk-UA"/>
              </w:rPr>
            </w:pPr>
            <w:r w:rsidRPr="000C48E5">
              <w:rPr>
                <w:bCs/>
                <w:sz w:val="28"/>
                <w:szCs w:val="28"/>
                <w:lang w:val="uk-UA"/>
              </w:rPr>
              <w:t xml:space="preserve">від </w:t>
            </w:r>
            <w:r w:rsidR="000C48E5" w:rsidRPr="000C48E5">
              <w:rPr>
                <w:bCs/>
                <w:sz w:val="28"/>
                <w:szCs w:val="28"/>
                <w:lang w:val="uk-UA"/>
              </w:rPr>
              <w:t xml:space="preserve">17 </w:t>
            </w:r>
            <w:r w:rsidRPr="000C48E5">
              <w:rPr>
                <w:bCs/>
                <w:sz w:val="28"/>
                <w:szCs w:val="28"/>
                <w:lang w:val="uk-UA"/>
              </w:rPr>
              <w:t xml:space="preserve">вересня 2025 року № </w:t>
            </w:r>
            <w:r w:rsidR="000C48E5" w:rsidRPr="000C48E5">
              <w:rPr>
                <w:bCs/>
                <w:sz w:val="28"/>
                <w:szCs w:val="28"/>
                <w:lang w:val="uk-UA"/>
              </w:rPr>
              <w:t>484</w:t>
            </w:r>
          </w:p>
        </w:tc>
      </w:tr>
    </w:tbl>
    <w:p w14:paraId="23841F30" w14:textId="77777777" w:rsidR="000C036D" w:rsidRPr="000C48E5" w:rsidRDefault="000C036D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AC313E" w14:textId="3A0C564D" w:rsidR="006A2A83" w:rsidRPr="003814E2" w:rsidRDefault="006A2A83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4E2">
        <w:rPr>
          <w:rFonts w:ascii="Times New Roman" w:hAnsi="Times New Roman"/>
          <w:b/>
          <w:sz w:val="28"/>
          <w:szCs w:val="28"/>
        </w:rPr>
        <w:t>Середньостроковий план</w:t>
      </w:r>
    </w:p>
    <w:p w14:paraId="62E9DEDA" w14:textId="77777777" w:rsidR="006A2A83" w:rsidRPr="003814E2" w:rsidRDefault="006A2A83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4E2">
        <w:rPr>
          <w:rFonts w:ascii="Times New Roman" w:hAnsi="Times New Roman"/>
          <w:b/>
          <w:sz w:val="28"/>
          <w:szCs w:val="28"/>
        </w:rPr>
        <w:t>пріоритетних публічних інвестицій</w:t>
      </w:r>
    </w:p>
    <w:p w14:paraId="41174E67" w14:textId="7E46CEB5" w:rsidR="0024728A" w:rsidRPr="003814E2" w:rsidRDefault="003814E2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4E2">
        <w:rPr>
          <w:rFonts w:ascii="Times New Roman" w:hAnsi="Times New Roman"/>
          <w:b/>
          <w:sz w:val="28"/>
          <w:szCs w:val="28"/>
        </w:rPr>
        <w:t>Ніжинсь</w:t>
      </w:r>
      <w:r w:rsidR="006A2A83" w:rsidRPr="003814E2">
        <w:rPr>
          <w:rFonts w:ascii="Times New Roman" w:hAnsi="Times New Roman"/>
          <w:b/>
          <w:sz w:val="28"/>
          <w:szCs w:val="28"/>
        </w:rPr>
        <w:t>кої міської територіальної громади на 2026-2028 роки</w:t>
      </w:r>
    </w:p>
    <w:p w14:paraId="36278CE7" w14:textId="77777777" w:rsidR="006A2A83" w:rsidRPr="00AA28AC" w:rsidRDefault="006A2A83" w:rsidP="006A2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14:paraId="26553856" w14:textId="77777777" w:rsidR="006A2A83" w:rsidRPr="003814E2" w:rsidRDefault="006A2A83" w:rsidP="006A2A83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  <w:r w:rsidRPr="003814E2"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  <w:t>Загальна частина</w:t>
      </w:r>
    </w:p>
    <w:p w14:paraId="2E5EFA7C" w14:textId="4485E655" w:rsidR="006A2A83" w:rsidRPr="006B430C" w:rsidRDefault="006A2A83" w:rsidP="00266E47">
      <w:pPr>
        <w:pStyle w:val="a3"/>
        <w:spacing w:before="316"/>
        <w:ind w:right="154" w:firstLine="709"/>
        <w:jc w:val="both"/>
      </w:pPr>
      <w:r w:rsidRPr="003814E2">
        <w:t xml:space="preserve">Середньостроковий план пріоритетних публічних інвестицій </w:t>
      </w:r>
      <w:r w:rsidR="003814E2" w:rsidRPr="003814E2">
        <w:t>Ніжинської</w:t>
      </w:r>
      <w:r w:rsidR="00431DD3" w:rsidRPr="003814E2">
        <w:t xml:space="preserve"> міської територіальної громади на 2026-2028 роки </w:t>
      </w:r>
      <w:r w:rsidRPr="003814E2">
        <w:t xml:space="preserve">(далі </w:t>
      </w:r>
      <w:r w:rsidR="00CC00C6" w:rsidRPr="003814E2">
        <w:t>–</w:t>
      </w:r>
      <w:r w:rsidRPr="003814E2">
        <w:t xml:space="preserve"> Середньостроковий план) </w:t>
      </w:r>
      <w:r w:rsidRPr="006B430C">
        <w:t>розроблено відповідно до абзацу другого частини третьої статті 75</w:t>
      </w:r>
      <w:r w:rsidRPr="006B430C">
        <w:rPr>
          <w:vertAlign w:val="superscript"/>
        </w:rPr>
        <w:t xml:space="preserve">2 </w:t>
      </w:r>
      <w:r w:rsidRPr="006B430C">
        <w:t>Бюджетного кодексу України, з урахуванням положень Порядку розроблення та моніторингу реалізації Середньострокового плану пріоритетних публічних інвестицій держави, затвердженого постановою Кабінету Міністрів України від 28 лютого 2025 року № 294</w:t>
      </w:r>
      <w:r w:rsidR="00401590" w:rsidRPr="006B430C">
        <w:t>,</w:t>
      </w:r>
      <w:r w:rsidRPr="006B430C">
        <w:t xml:space="preserve"> та листа Міністерства економіки, довкілля та сільського господарства України від 25 липня 2025 року № </w:t>
      </w:r>
      <w:r w:rsidRPr="006B430C">
        <w:rPr>
          <w:color w:val="000000"/>
        </w:rPr>
        <w:t>3502-05/50244-06 «Щодо формування середньострокового плану пріоритетних публічних інвестицій регіону (територіальної громади)»</w:t>
      </w:r>
      <w:r w:rsidRPr="006B430C">
        <w:t>.</w:t>
      </w:r>
    </w:p>
    <w:p w14:paraId="0CBC2637" w14:textId="77777777" w:rsidR="006A2A83" w:rsidRPr="00ED0910" w:rsidRDefault="006A2A83" w:rsidP="00266E47">
      <w:pPr>
        <w:pStyle w:val="a3"/>
        <w:spacing w:before="1"/>
        <w:ind w:right="157" w:firstLine="709"/>
        <w:jc w:val="both"/>
      </w:pPr>
      <w:r w:rsidRPr="00ED0910">
        <w:t>Середньостроковий</w:t>
      </w:r>
      <w:r w:rsidRPr="00ED0910">
        <w:rPr>
          <w:spacing w:val="-4"/>
        </w:rPr>
        <w:t xml:space="preserve"> </w:t>
      </w:r>
      <w:r w:rsidRPr="00ED0910">
        <w:t>план</w:t>
      </w:r>
      <w:r w:rsidRPr="00ED0910">
        <w:rPr>
          <w:spacing w:val="-2"/>
        </w:rPr>
        <w:t xml:space="preserve"> </w:t>
      </w:r>
      <w:r w:rsidRPr="00ED0910">
        <w:t>формує</w:t>
      </w:r>
      <w:r w:rsidRPr="00ED0910">
        <w:rPr>
          <w:spacing w:val="-1"/>
        </w:rPr>
        <w:t xml:space="preserve"> </w:t>
      </w:r>
      <w:r w:rsidRPr="00ED0910">
        <w:t>основу</w:t>
      </w:r>
      <w:r w:rsidRPr="00ED0910">
        <w:rPr>
          <w:spacing w:val="-3"/>
        </w:rPr>
        <w:t xml:space="preserve"> </w:t>
      </w:r>
      <w:r w:rsidRPr="00ED0910">
        <w:t>для</w:t>
      </w:r>
      <w:r w:rsidRPr="00ED0910">
        <w:rPr>
          <w:spacing w:val="-1"/>
        </w:rPr>
        <w:t xml:space="preserve"> </w:t>
      </w:r>
      <w:r w:rsidRPr="00ED0910">
        <w:t>побудови</w:t>
      </w:r>
      <w:r w:rsidRPr="00ED0910">
        <w:rPr>
          <w:spacing w:val="-1"/>
        </w:rPr>
        <w:t xml:space="preserve"> </w:t>
      </w:r>
      <w:r w:rsidRPr="00ED0910">
        <w:t>ефективної</w:t>
      </w:r>
      <w:r w:rsidRPr="00ED0910">
        <w:rPr>
          <w:spacing w:val="-1"/>
        </w:rPr>
        <w:t xml:space="preserve"> </w:t>
      </w:r>
      <w:r w:rsidRPr="00ED0910">
        <w:t>та</w:t>
      </w:r>
      <w:r w:rsidRPr="00ED0910">
        <w:rPr>
          <w:spacing w:val="-1"/>
        </w:rPr>
        <w:t xml:space="preserve"> </w:t>
      </w:r>
      <w:r w:rsidRPr="00ED0910">
        <w:t xml:space="preserve">дієвої системи управління публічними інвестиціями, що забезпечує оптимізацію використання бюджетних ресурсів, підвищення прозорості у використанні публічних коштів та інтеграцію публічних інвестицій у загальний процес стратегічного планування, а також дозволяє зосередити ресурси на найбільш важливих для громади публічних інвестиційних </w:t>
      </w:r>
      <w:proofErr w:type="spellStart"/>
      <w:r w:rsidRPr="00ED0910">
        <w:t>проєктах</w:t>
      </w:r>
      <w:proofErr w:type="spellEnd"/>
      <w:r w:rsidRPr="00ED0910">
        <w:t xml:space="preserve"> (далі </w:t>
      </w:r>
      <w:r w:rsidR="00CC00C6" w:rsidRPr="00ED0910">
        <w:t>–</w:t>
      </w:r>
      <w:r w:rsidRPr="00ED0910">
        <w:t xml:space="preserve"> </w:t>
      </w:r>
      <w:proofErr w:type="spellStart"/>
      <w:r w:rsidRPr="00ED0910">
        <w:t>проєкт</w:t>
      </w:r>
      <w:proofErr w:type="spellEnd"/>
      <w:r w:rsidRPr="00ED0910">
        <w:t xml:space="preserve">) та програмах публічних інвестицій (далі </w:t>
      </w:r>
      <w:r w:rsidR="005A3CB2" w:rsidRPr="00ED0910">
        <w:t>–</w:t>
      </w:r>
      <w:r w:rsidRPr="00ED0910">
        <w:t xml:space="preserve"> Програма).</w:t>
      </w:r>
    </w:p>
    <w:p w14:paraId="2912C42E" w14:textId="77777777" w:rsidR="006A2A83" w:rsidRPr="00ED0910" w:rsidRDefault="006A2A83" w:rsidP="00266E47">
      <w:pPr>
        <w:pStyle w:val="a3"/>
        <w:spacing w:line="322" w:lineRule="exact"/>
        <w:ind w:firstLine="709"/>
        <w:jc w:val="both"/>
      </w:pPr>
      <w:r w:rsidRPr="00ED0910">
        <w:t>Середньостроковий</w:t>
      </w:r>
      <w:r w:rsidRPr="00ED0910">
        <w:rPr>
          <w:spacing w:val="-11"/>
        </w:rPr>
        <w:t xml:space="preserve"> </w:t>
      </w:r>
      <w:r w:rsidRPr="00ED0910">
        <w:t>план</w:t>
      </w:r>
      <w:r w:rsidRPr="00ED0910">
        <w:rPr>
          <w:spacing w:val="-7"/>
        </w:rPr>
        <w:t xml:space="preserve"> </w:t>
      </w:r>
      <w:r w:rsidRPr="00ED0910">
        <w:rPr>
          <w:spacing w:val="-2"/>
        </w:rPr>
        <w:t>визначає:</w:t>
      </w:r>
    </w:p>
    <w:p w14:paraId="4FFCD507" w14:textId="51D4548E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276"/>
        </w:tabs>
        <w:spacing w:line="322" w:lineRule="exact"/>
        <w:ind w:left="0" w:firstLine="709"/>
        <w:rPr>
          <w:sz w:val="28"/>
        </w:rPr>
      </w:pPr>
      <w:r w:rsidRPr="00ED0910">
        <w:rPr>
          <w:sz w:val="28"/>
        </w:rPr>
        <w:t>наскрізні</w:t>
      </w:r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стратегічні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цілі</w:t>
      </w:r>
      <w:r w:rsidRPr="00ED0910">
        <w:rPr>
          <w:spacing w:val="-5"/>
          <w:sz w:val="28"/>
        </w:rPr>
        <w:t xml:space="preserve"> </w:t>
      </w:r>
      <w:r w:rsidRPr="00ED0910">
        <w:rPr>
          <w:sz w:val="28"/>
        </w:rPr>
        <w:t>здійснення</w:t>
      </w:r>
      <w:r w:rsidRPr="00ED0910">
        <w:rPr>
          <w:spacing w:val="-7"/>
          <w:sz w:val="28"/>
        </w:rPr>
        <w:t xml:space="preserve"> </w:t>
      </w:r>
      <w:r w:rsidRPr="00ED0910">
        <w:rPr>
          <w:sz w:val="28"/>
        </w:rPr>
        <w:t>публічних</w:t>
      </w:r>
      <w:r w:rsidRPr="00ED0910">
        <w:rPr>
          <w:spacing w:val="-9"/>
          <w:sz w:val="28"/>
        </w:rPr>
        <w:t xml:space="preserve"> </w:t>
      </w:r>
      <w:r w:rsidRPr="00ED0910">
        <w:rPr>
          <w:spacing w:val="-2"/>
          <w:sz w:val="28"/>
        </w:rPr>
        <w:t>інвестицій</w:t>
      </w:r>
      <w:r w:rsidR="00266E47" w:rsidRPr="00ED0910">
        <w:rPr>
          <w:spacing w:val="-2"/>
          <w:sz w:val="28"/>
        </w:rPr>
        <w:t xml:space="preserve"> у</w:t>
      </w:r>
      <w:r w:rsidR="00431DD3" w:rsidRPr="00ED0910">
        <w:rPr>
          <w:spacing w:val="-2"/>
          <w:sz w:val="28"/>
        </w:rPr>
        <w:t xml:space="preserve"> </w:t>
      </w:r>
      <w:r w:rsidR="00ED0910" w:rsidRPr="00ED0910">
        <w:rPr>
          <w:spacing w:val="-2"/>
          <w:sz w:val="28"/>
        </w:rPr>
        <w:t>Ніжинс</w:t>
      </w:r>
      <w:r w:rsidR="00431DD3" w:rsidRPr="00ED0910">
        <w:rPr>
          <w:spacing w:val="-2"/>
          <w:sz w:val="28"/>
        </w:rPr>
        <w:t>ькій міській територіальній громаді</w:t>
      </w:r>
      <w:r w:rsidRPr="00ED0910">
        <w:rPr>
          <w:spacing w:val="-2"/>
          <w:sz w:val="28"/>
        </w:rPr>
        <w:t>;</w:t>
      </w:r>
    </w:p>
    <w:p w14:paraId="31854FDA" w14:textId="77777777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rPr>
          <w:sz w:val="28"/>
        </w:rPr>
      </w:pPr>
      <w:r w:rsidRPr="00ED0910">
        <w:rPr>
          <w:sz w:val="28"/>
        </w:rPr>
        <w:t>пріоритетні</w:t>
      </w:r>
      <w:r w:rsidRPr="00ED0910">
        <w:rPr>
          <w:spacing w:val="-5"/>
          <w:sz w:val="28"/>
        </w:rPr>
        <w:t xml:space="preserve"> </w:t>
      </w:r>
      <w:r w:rsidRPr="00ED0910">
        <w:rPr>
          <w:sz w:val="28"/>
        </w:rPr>
        <w:t>галузі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(сектори)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для</w:t>
      </w:r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публічного</w:t>
      </w:r>
      <w:r w:rsidRPr="00ED0910">
        <w:rPr>
          <w:spacing w:val="-4"/>
          <w:sz w:val="28"/>
        </w:rPr>
        <w:t xml:space="preserve"> </w:t>
      </w:r>
      <w:r w:rsidRPr="00ED0910">
        <w:rPr>
          <w:spacing w:val="-2"/>
          <w:sz w:val="28"/>
        </w:rPr>
        <w:t>інвестування;</w:t>
      </w:r>
    </w:p>
    <w:p w14:paraId="62551DA8" w14:textId="77777777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276"/>
        </w:tabs>
        <w:spacing w:before="2"/>
        <w:ind w:left="0" w:right="152" w:firstLine="709"/>
        <w:rPr>
          <w:sz w:val="28"/>
        </w:rPr>
      </w:pPr>
      <w:r w:rsidRPr="00ED0910">
        <w:rPr>
          <w:sz w:val="28"/>
        </w:rPr>
        <w:t xml:space="preserve">основні напрями публічного інвестування, у тому числі за діючими </w:t>
      </w:r>
      <w:proofErr w:type="spellStart"/>
      <w:r w:rsidRPr="00ED0910">
        <w:rPr>
          <w:sz w:val="28"/>
        </w:rPr>
        <w:t>проєктами</w:t>
      </w:r>
      <w:proofErr w:type="spellEnd"/>
      <w:r w:rsidRPr="00ED0910">
        <w:rPr>
          <w:sz w:val="28"/>
        </w:rPr>
        <w:t xml:space="preserve"> та програмами, цільові показники цих напрямів і відповідний орієнтовний розподіл коштів за рахунок різних джерел фінансування;</w:t>
      </w:r>
    </w:p>
    <w:p w14:paraId="765FB076" w14:textId="77777777" w:rsidR="006A2A83" w:rsidRPr="00ED0910" w:rsidRDefault="006A2A83" w:rsidP="00266E47">
      <w:pPr>
        <w:pStyle w:val="a5"/>
        <w:numPr>
          <w:ilvl w:val="0"/>
          <w:numId w:val="1"/>
        </w:numPr>
        <w:tabs>
          <w:tab w:val="left" w:pos="1580"/>
        </w:tabs>
        <w:spacing w:line="320" w:lineRule="exact"/>
        <w:ind w:left="0" w:firstLine="709"/>
        <w:rPr>
          <w:sz w:val="28"/>
        </w:rPr>
      </w:pPr>
      <w:proofErr w:type="spellStart"/>
      <w:r w:rsidRPr="00ED0910">
        <w:rPr>
          <w:sz w:val="28"/>
        </w:rPr>
        <w:t>підсектори</w:t>
      </w:r>
      <w:proofErr w:type="spellEnd"/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галузей</w:t>
      </w:r>
      <w:r w:rsidRPr="00ED0910">
        <w:rPr>
          <w:spacing w:val="-6"/>
          <w:sz w:val="28"/>
        </w:rPr>
        <w:t xml:space="preserve"> </w:t>
      </w:r>
      <w:r w:rsidRPr="00ED0910">
        <w:rPr>
          <w:sz w:val="28"/>
        </w:rPr>
        <w:t>(секторів)</w:t>
      </w:r>
      <w:r w:rsidRPr="00ED0910">
        <w:rPr>
          <w:spacing w:val="-7"/>
          <w:sz w:val="28"/>
        </w:rPr>
        <w:t xml:space="preserve"> </w:t>
      </w:r>
      <w:r w:rsidRPr="00ED0910">
        <w:rPr>
          <w:sz w:val="28"/>
        </w:rPr>
        <w:t>для</w:t>
      </w:r>
      <w:r w:rsidRPr="00ED0910">
        <w:rPr>
          <w:spacing w:val="-9"/>
          <w:sz w:val="28"/>
        </w:rPr>
        <w:t xml:space="preserve"> </w:t>
      </w:r>
      <w:r w:rsidRPr="00ED0910">
        <w:rPr>
          <w:sz w:val="28"/>
        </w:rPr>
        <w:t>публічного</w:t>
      </w:r>
      <w:r w:rsidRPr="00ED0910">
        <w:rPr>
          <w:spacing w:val="-5"/>
          <w:sz w:val="28"/>
        </w:rPr>
        <w:t xml:space="preserve"> </w:t>
      </w:r>
      <w:r w:rsidRPr="00ED0910">
        <w:rPr>
          <w:spacing w:val="-2"/>
          <w:sz w:val="28"/>
        </w:rPr>
        <w:t>інвестування.</w:t>
      </w:r>
    </w:p>
    <w:p w14:paraId="5001976D" w14:textId="77777777" w:rsidR="00431DD3" w:rsidRPr="00467444" w:rsidRDefault="006A2A83" w:rsidP="00266E47">
      <w:pPr>
        <w:pStyle w:val="a3"/>
        <w:ind w:right="156" w:firstLine="709"/>
        <w:jc w:val="both"/>
      </w:pPr>
      <w:r w:rsidRPr="00467444">
        <w:t>Сфера дії Середньострокового плану</w:t>
      </w:r>
      <w:r w:rsidR="00431DD3" w:rsidRPr="00467444">
        <w:t>:</w:t>
      </w:r>
    </w:p>
    <w:p w14:paraId="681B147A" w14:textId="67D49E94" w:rsidR="00431DD3" w:rsidRPr="00467444" w:rsidRDefault="00431DD3" w:rsidP="00266E47">
      <w:pPr>
        <w:pStyle w:val="a3"/>
        <w:ind w:right="156" w:firstLine="709"/>
        <w:jc w:val="both"/>
      </w:pPr>
      <w:r w:rsidRPr="00467444">
        <w:t>-</w:t>
      </w:r>
      <w:r w:rsidR="006A2A83" w:rsidRPr="00467444">
        <w:t xml:space="preserve"> </w:t>
      </w:r>
      <w:r w:rsidRPr="00467444">
        <w:t>охоплює</w:t>
      </w:r>
      <w:r w:rsidR="006A2A83" w:rsidRPr="00467444">
        <w:t xml:space="preserve"> публічні інвестиції, що спрямовані на реалізацію </w:t>
      </w:r>
      <w:proofErr w:type="spellStart"/>
      <w:r w:rsidR="006A2A83" w:rsidRPr="00467444">
        <w:t>проєктів</w:t>
      </w:r>
      <w:proofErr w:type="spellEnd"/>
      <w:r w:rsidR="006A2A83" w:rsidRPr="00467444">
        <w:t xml:space="preserve"> та програм</w:t>
      </w:r>
      <w:r w:rsidRPr="00467444">
        <w:t xml:space="preserve"> в </w:t>
      </w:r>
      <w:r w:rsidR="00467444" w:rsidRPr="00467444">
        <w:rPr>
          <w:spacing w:val="-2"/>
        </w:rPr>
        <w:t>Ніжинській</w:t>
      </w:r>
      <w:r w:rsidRPr="00467444">
        <w:t xml:space="preserve"> міській територіальній громаді;</w:t>
      </w:r>
    </w:p>
    <w:p w14:paraId="71ED6B07" w14:textId="77777777" w:rsidR="006A2A83" w:rsidRPr="00467444" w:rsidRDefault="00431DD3" w:rsidP="00266E47">
      <w:pPr>
        <w:pStyle w:val="a3"/>
        <w:ind w:right="156" w:firstLine="709"/>
        <w:jc w:val="both"/>
      </w:pPr>
      <w:r w:rsidRPr="00467444">
        <w:t>-</w:t>
      </w:r>
      <w:r w:rsidR="006A2A83" w:rsidRPr="00467444">
        <w:t xml:space="preserve"> не охоплює компенсації за пошкодження та знищення окремих категорій об’єктів нерухомого майна внаслідок бойових дій, терористичних актів, диверсій, спричинених </w:t>
      </w:r>
      <w:r w:rsidRPr="00467444">
        <w:t xml:space="preserve">російською </w:t>
      </w:r>
      <w:r w:rsidR="006A2A83" w:rsidRPr="00467444">
        <w:t>збройною агресією проти України, а також гранти,</w:t>
      </w:r>
      <w:r w:rsidR="006A2A83" w:rsidRPr="00467444">
        <w:rPr>
          <w:spacing w:val="-4"/>
        </w:rPr>
        <w:t xml:space="preserve"> </w:t>
      </w:r>
      <w:r w:rsidR="006A2A83" w:rsidRPr="00467444">
        <w:t>програми</w:t>
      </w:r>
      <w:r w:rsidR="006A2A83" w:rsidRPr="00467444">
        <w:rPr>
          <w:spacing w:val="-4"/>
        </w:rPr>
        <w:t xml:space="preserve"> </w:t>
      </w:r>
      <w:r w:rsidR="006A2A83" w:rsidRPr="00467444">
        <w:t>підтримки</w:t>
      </w:r>
      <w:r w:rsidR="006A2A83" w:rsidRPr="00467444">
        <w:rPr>
          <w:spacing w:val="-4"/>
        </w:rPr>
        <w:t xml:space="preserve"> </w:t>
      </w:r>
      <w:r w:rsidR="006A2A83" w:rsidRPr="00467444">
        <w:t>бізнесу,</w:t>
      </w:r>
      <w:r w:rsidR="006A2A83" w:rsidRPr="00467444">
        <w:rPr>
          <w:spacing w:val="-5"/>
        </w:rPr>
        <w:t xml:space="preserve"> </w:t>
      </w:r>
      <w:r w:rsidR="006A2A83" w:rsidRPr="00467444">
        <w:t>фінансування</w:t>
      </w:r>
      <w:r w:rsidR="006A2A83" w:rsidRPr="00467444">
        <w:rPr>
          <w:spacing w:val="-4"/>
        </w:rPr>
        <w:t xml:space="preserve"> </w:t>
      </w:r>
      <w:r w:rsidR="006A2A83" w:rsidRPr="00467444">
        <w:t>від</w:t>
      </w:r>
      <w:r w:rsidR="006A2A83" w:rsidRPr="00467444">
        <w:rPr>
          <w:spacing w:val="-3"/>
        </w:rPr>
        <w:t xml:space="preserve"> </w:t>
      </w:r>
      <w:r w:rsidR="006A2A83" w:rsidRPr="00467444">
        <w:t>міжнародних</w:t>
      </w:r>
      <w:r w:rsidR="006A2A83" w:rsidRPr="00467444">
        <w:rPr>
          <w:spacing w:val="-3"/>
        </w:rPr>
        <w:t xml:space="preserve"> </w:t>
      </w:r>
      <w:r w:rsidR="006A2A83" w:rsidRPr="00467444">
        <w:t>фінансових організацій для приватного сектора та інші інструменти і форми підтримки бізнесу та громадян, які не є публічними інвестиціями у розумінні Бюджетного кодексу України.</w:t>
      </w:r>
    </w:p>
    <w:p w14:paraId="3C2FDC29" w14:textId="77777777" w:rsidR="00431DD3" w:rsidRPr="00AA28AC" w:rsidRDefault="00431DD3" w:rsidP="006A2A83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highlight w:val="yellow"/>
          <w:lang w:eastAsia="uk-UA"/>
        </w:rPr>
      </w:pPr>
    </w:p>
    <w:p w14:paraId="40099D10" w14:textId="77777777" w:rsidR="004B6CA8" w:rsidRDefault="004B6CA8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6B4AF228" w14:textId="172A2612" w:rsidR="006A2A83" w:rsidRPr="004F41C9" w:rsidRDefault="006A2A83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  <w:r w:rsidRPr="004F41C9"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  <w:lastRenderedPageBreak/>
        <w:t>Описова частина</w:t>
      </w:r>
    </w:p>
    <w:p w14:paraId="3538D39B" w14:textId="77777777" w:rsidR="00974CAF" w:rsidRPr="00AA28AC" w:rsidRDefault="00974CAF" w:rsidP="00974CAF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  <w:highlight w:val="yellow"/>
          <w:lang w:eastAsia="uk-UA"/>
        </w:rPr>
      </w:pPr>
    </w:p>
    <w:p w14:paraId="601AAA83" w14:textId="0D4BEC19" w:rsidR="00431DD3" w:rsidRPr="004F41C9" w:rsidRDefault="00431DD3" w:rsidP="00974CAF">
      <w:pPr>
        <w:pStyle w:val="a3"/>
        <w:ind w:right="156" w:firstLine="709"/>
        <w:jc w:val="both"/>
        <w:rPr>
          <w:spacing w:val="-2"/>
        </w:rPr>
      </w:pPr>
      <w:r w:rsidRPr="004F41C9">
        <w:t xml:space="preserve">Середньостроковий план розроблено </w:t>
      </w:r>
      <w:r w:rsidR="004F41C9" w:rsidRPr="004F41C9">
        <w:t>відділом</w:t>
      </w:r>
      <w:r w:rsidRPr="004F41C9">
        <w:t xml:space="preserve"> економі</w:t>
      </w:r>
      <w:r w:rsidR="004F41C9" w:rsidRPr="004F41C9">
        <w:t xml:space="preserve">ки виконавчого комітету Ніжинської міської </w:t>
      </w:r>
      <w:r w:rsidRPr="004F41C9">
        <w:t xml:space="preserve">ради на підставі пропозицій </w:t>
      </w:r>
      <w:r w:rsidRPr="004F41C9">
        <w:rPr>
          <w:color w:val="333333"/>
          <w:shd w:val="clear" w:color="auto" w:fill="FFFFFF"/>
        </w:rPr>
        <w:t>структурних підрозділів</w:t>
      </w:r>
      <w:r w:rsidRPr="004F41C9">
        <w:t xml:space="preserve"> </w:t>
      </w:r>
      <w:r w:rsidR="000C237F">
        <w:t xml:space="preserve">виконавчого комітету </w:t>
      </w:r>
      <w:r w:rsidR="000C237F" w:rsidRPr="004F41C9">
        <w:t xml:space="preserve">Ніжинської міської ради </w:t>
      </w:r>
      <w:r w:rsidR="000C237F">
        <w:t xml:space="preserve">та виконавчих органів </w:t>
      </w:r>
      <w:r w:rsidR="000C237F" w:rsidRPr="004F41C9">
        <w:t xml:space="preserve">Ніжинської міської ради </w:t>
      </w:r>
      <w:r w:rsidRPr="004F41C9">
        <w:t>відповідно до цілей і завдань, визначених документами стратегічного планування, у межах</w:t>
      </w:r>
      <w:r w:rsidRPr="004F41C9">
        <w:rPr>
          <w:spacing w:val="80"/>
        </w:rPr>
        <w:t xml:space="preserve"> </w:t>
      </w:r>
      <w:r w:rsidRPr="004F41C9">
        <w:t>орієнтовного граничного сукупного обсягу публічних</w:t>
      </w:r>
      <w:r w:rsidRPr="004F41C9">
        <w:rPr>
          <w:spacing w:val="-14"/>
        </w:rPr>
        <w:t xml:space="preserve"> </w:t>
      </w:r>
      <w:r w:rsidRPr="004F41C9">
        <w:t>інвестицій</w:t>
      </w:r>
      <w:r w:rsidRPr="004F41C9">
        <w:rPr>
          <w:spacing w:val="-8"/>
        </w:rPr>
        <w:t xml:space="preserve"> </w:t>
      </w:r>
      <w:r w:rsidRPr="004F41C9">
        <w:t>на</w:t>
      </w:r>
      <w:r w:rsidRPr="004F41C9">
        <w:rPr>
          <w:spacing w:val="-9"/>
        </w:rPr>
        <w:t xml:space="preserve"> </w:t>
      </w:r>
      <w:r w:rsidRPr="004F41C9">
        <w:t>середньостроковий</w:t>
      </w:r>
      <w:r w:rsidRPr="004F41C9">
        <w:rPr>
          <w:spacing w:val="-8"/>
        </w:rPr>
        <w:t xml:space="preserve"> </w:t>
      </w:r>
      <w:r w:rsidRPr="004F41C9">
        <w:t>період,</w:t>
      </w:r>
      <w:r w:rsidRPr="004F41C9">
        <w:rPr>
          <w:spacing w:val="-9"/>
        </w:rPr>
        <w:t xml:space="preserve"> </w:t>
      </w:r>
      <w:r w:rsidRPr="004F41C9">
        <w:t>доведен</w:t>
      </w:r>
      <w:r w:rsidR="00F1388B">
        <w:t>ий</w:t>
      </w:r>
      <w:r w:rsidRPr="004F41C9">
        <w:rPr>
          <w:spacing w:val="-10"/>
        </w:rPr>
        <w:t xml:space="preserve"> </w:t>
      </w:r>
      <w:r w:rsidRPr="004F41C9">
        <w:rPr>
          <w:spacing w:val="-2"/>
        </w:rPr>
        <w:t xml:space="preserve">фінансовим управлінням </w:t>
      </w:r>
      <w:r w:rsidR="00F1388B">
        <w:rPr>
          <w:spacing w:val="-2"/>
        </w:rPr>
        <w:t xml:space="preserve">Ніжинської </w:t>
      </w:r>
      <w:r w:rsidRPr="004F41C9">
        <w:rPr>
          <w:spacing w:val="-2"/>
        </w:rPr>
        <w:t>міської ради</w:t>
      </w:r>
      <w:r w:rsidR="00401590" w:rsidRPr="004F41C9">
        <w:rPr>
          <w:spacing w:val="-2"/>
        </w:rPr>
        <w:t xml:space="preserve"> листом від 2</w:t>
      </w:r>
      <w:r w:rsidR="00F1388B">
        <w:rPr>
          <w:spacing w:val="-2"/>
        </w:rPr>
        <w:t>3</w:t>
      </w:r>
      <w:r w:rsidR="00401590" w:rsidRPr="004F41C9">
        <w:rPr>
          <w:spacing w:val="-2"/>
        </w:rPr>
        <w:t>.07.2025 № </w:t>
      </w:r>
      <w:r w:rsidR="00F1388B">
        <w:rPr>
          <w:spacing w:val="-2"/>
        </w:rPr>
        <w:t>193</w:t>
      </w:r>
      <w:r w:rsidRPr="004F41C9">
        <w:rPr>
          <w:spacing w:val="-2"/>
        </w:rPr>
        <w:t>.</w:t>
      </w:r>
    </w:p>
    <w:p w14:paraId="7A0C4F2F" w14:textId="77777777" w:rsidR="00431DD3" w:rsidRPr="00AA28AC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16"/>
          <w:szCs w:val="16"/>
          <w:highlight w:val="yellow"/>
          <w:lang w:eastAsia="uk-UA"/>
        </w:rPr>
      </w:pPr>
    </w:p>
    <w:p w14:paraId="4546B7FC" w14:textId="09C94BBC" w:rsidR="00431DD3" w:rsidRPr="006A0BD6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6A0BD6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Наскрізні стратегічні цілі здійснення публічних інвестицій в </w:t>
      </w:r>
      <w:r w:rsidR="00F23422" w:rsidRPr="006A0BD6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Ніжинській </w:t>
      </w:r>
      <w:r w:rsidRPr="006A0BD6">
        <w:rPr>
          <w:rFonts w:ascii="Times New Roman" w:hAnsi="Times New Roman"/>
          <w:i/>
          <w:color w:val="000000"/>
          <w:sz w:val="28"/>
          <w:szCs w:val="28"/>
          <w:lang w:eastAsia="uk-UA"/>
        </w:rPr>
        <w:t>міській територіальній громаді</w:t>
      </w:r>
    </w:p>
    <w:p w14:paraId="450D0667" w14:textId="77777777" w:rsidR="00266E47" w:rsidRPr="006A0BD6" w:rsidRDefault="00266E47" w:rsidP="00266E47">
      <w:pPr>
        <w:pStyle w:val="a3"/>
        <w:spacing w:before="321"/>
        <w:ind w:right="149" w:firstLine="709"/>
        <w:jc w:val="both"/>
      </w:pPr>
      <w:r w:rsidRPr="006A0BD6">
        <w:t>Наскрізними</w:t>
      </w:r>
      <w:r w:rsidRPr="006A0BD6">
        <w:rPr>
          <w:spacing w:val="-2"/>
        </w:rPr>
        <w:t xml:space="preserve"> </w:t>
      </w:r>
      <w:r w:rsidRPr="006A0BD6">
        <w:t>стратегічними</w:t>
      </w:r>
      <w:r w:rsidRPr="006A0BD6">
        <w:rPr>
          <w:spacing w:val="-2"/>
        </w:rPr>
        <w:t xml:space="preserve"> </w:t>
      </w:r>
      <w:r w:rsidRPr="006A0BD6">
        <w:t>цілями</w:t>
      </w:r>
      <w:r w:rsidRPr="006A0BD6">
        <w:rPr>
          <w:spacing w:val="-2"/>
        </w:rPr>
        <w:t xml:space="preserve"> </w:t>
      </w:r>
      <w:r w:rsidRPr="006A0BD6">
        <w:t>здійснення</w:t>
      </w:r>
      <w:r w:rsidRPr="006A0BD6">
        <w:rPr>
          <w:spacing w:val="-2"/>
        </w:rPr>
        <w:t xml:space="preserve"> </w:t>
      </w:r>
      <w:r w:rsidRPr="006A0BD6">
        <w:t>публічних</w:t>
      </w:r>
      <w:r w:rsidRPr="006A0BD6">
        <w:rPr>
          <w:spacing w:val="-2"/>
        </w:rPr>
        <w:t xml:space="preserve"> </w:t>
      </w:r>
      <w:r w:rsidRPr="006A0BD6">
        <w:t>інвестицій (далі</w:t>
      </w:r>
      <w:r w:rsidR="00162063" w:rsidRPr="006A0BD6">
        <w:t> –</w:t>
      </w:r>
      <w:r w:rsidRPr="006A0BD6">
        <w:t xml:space="preserve"> наскрізні стратегічні цілі) є цілі, що мають міжгалузевий (</w:t>
      </w:r>
      <w:proofErr w:type="spellStart"/>
      <w:r w:rsidRPr="006A0BD6">
        <w:t>міжсекторальний</w:t>
      </w:r>
      <w:proofErr w:type="spellEnd"/>
      <w:r w:rsidRPr="006A0BD6">
        <w:t>) характер, відповідають пріоритетам розвитку громади,</w:t>
      </w:r>
      <w:r w:rsidRPr="006A0BD6">
        <w:rPr>
          <w:spacing w:val="40"/>
        </w:rPr>
        <w:t xml:space="preserve"> </w:t>
      </w:r>
      <w:r w:rsidRPr="006A0BD6">
        <w:t>для досягнення яких об’єднують зусилля органи влади та фізичні і юридичні особи, громадські об’єднання, інші суб’єкти, які можуть вплинути на процес досягнення цілей та/або на як</w:t>
      </w:r>
      <w:r w:rsidR="00603204" w:rsidRPr="006A0BD6">
        <w:t>і</w:t>
      </w:r>
      <w:r w:rsidRPr="006A0BD6">
        <w:t xml:space="preserve"> можуть вплинути їх результати.</w:t>
      </w:r>
    </w:p>
    <w:p w14:paraId="1FBB7EAD" w14:textId="77777777" w:rsidR="00AC45C9" w:rsidRPr="005413DF" w:rsidRDefault="00AC45C9" w:rsidP="00AC45C9">
      <w:pPr>
        <w:pStyle w:val="a3"/>
        <w:ind w:right="147" w:firstLine="709"/>
        <w:jc w:val="both"/>
      </w:pPr>
    </w:p>
    <w:p w14:paraId="76F783D8" w14:textId="1F800517" w:rsidR="007F2B29" w:rsidRPr="005413DF" w:rsidRDefault="007F2B29" w:rsidP="00AC45C9">
      <w:pPr>
        <w:pStyle w:val="a3"/>
        <w:ind w:right="147" w:firstLine="709"/>
        <w:jc w:val="both"/>
      </w:pPr>
      <w:r w:rsidRPr="005413DF">
        <w:t xml:space="preserve">На 2026-2028 роки наскрізними стратегічними цілями </w:t>
      </w:r>
      <w:r w:rsidR="005413DF" w:rsidRPr="005413DF">
        <w:t>Ніжин</w:t>
      </w:r>
      <w:r w:rsidRPr="005413DF">
        <w:t>ської міської територіальної громади є:</w:t>
      </w:r>
    </w:p>
    <w:p w14:paraId="1089DCDF" w14:textId="77777777" w:rsidR="00E22585" w:rsidRPr="005413DF" w:rsidRDefault="00E22585" w:rsidP="00AC45C9">
      <w:pPr>
        <w:pStyle w:val="a3"/>
        <w:ind w:right="147" w:firstLine="709"/>
        <w:jc w:val="both"/>
      </w:pPr>
      <w:r w:rsidRPr="005413DF">
        <w:t>- забезпечення безпеки життєдіяльності;</w:t>
      </w:r>
    </w:p>
    <w:p w14:paraId="13EB23F7" w14:textId="77777777" w:rsidR="003947AE" w:rsidRPr="005413DF" w:rsidRDefault="003947AE" w:rsidP="00AC45C9">
      <w:pPr>
        <w:pStyle w:val="a3"/>
        <w:ind w:right="147" w:firstLine="709"/>
        <w:jc w:val="both"/>
      </w:pPr>
      <w:r w:rsidRPr="005413DF">
        <w:t>- підвищення якості життя населення;</w:t>
      </w:r>
    </w:p>
    <w:p w14:paraId="3ECF831D" w14:textId="77777777" w:rsidR="0097440A" w:rsidRPr="005413DF" w:rsidRDefault="0097440A" w:rsidP="00AC45C9">
      <w:pPr>
        <w:pStyle w:val="a3"/>
        <w:ind w:right="147" w:firstLine="709"/>
        <w:jc w:val="both"/>
      </w:pPr>
      <w:r w:rsidRPr="005413DF">
        <w:t xml:space="preserve">- </w:t>
      </w:r>
      <w:r w:rsidR="003947AE" w:rsidRPr="005413DF">
        <w:t>енергоефективність;</w:t>
      </w:r>
    </w:p>
    <w:p w14:paraId="39E5B4D8" w14:textId="77777777" w:rsidR="0097440A" w:rsidRPr="005413DF" w:rsidRDefault="0097440A" w:rsidP="00AC45C9">
      <w:pPr>
        <w:pStyle w:val="a3"/>
        <w:ind w:right="147" w:firstLine="709"/>
        <w:jc w:val="both"/>
      </w:pPr>
      <w:r w:rsidRPr="005413DF">
        <w:t>- гендерна рівність</w:t>
      </w:r>
      <w:r w:rsidR="003947AE" w:rsidRPr="005413DF">
        <w:t>;</w:t>
      </w:r>
    </w:p>
    <w:p w14:paraId="3C579CFC" w14:textId="77777777" w:rsidR="007F2B29" w:rsidRPr="005413DF" w:rsidRDefault="0097440A" w:rsidP="00AC45C9">
      <w:pPr>
        <w:pStyle w:val="a3"/>
        <w:ind w:right="147" w:firstLine="709"/>
        <w:jc w:val="both"/>
      </w:pPr>
      <w:r w:rsidRPr="005413DF">
        <w:t xml:space="preserve">- </w:t>
      </w:r>
      <w:proofErr w:type="spellStart"/>
      <w:r w:rsidRPr="005413DF">
        <w:t>безбар’єрність</w:t>
      </w:r>
      <w:proofErr w:type="spellEnd"/>
      <w:r w:rsidRPr="005413DF">
        <w:t>.</w:t>
      </w:r>
    </w:p>
    <w:p w14:paraId="082E3336" w14:textId="55D108B5" w:rsidR="007F2B29" w:rsidRPr="008F46FE" w:rsidRDefault="007F2B29" w:rsidP="00266E47">
      <w:pPr>
        <w:pStyle w:val="a3"/>
        <w:spacing w:before="321"/>
        <w:ind w:right="149" w:firstLine="709"/>
        <w:jc w:val="both"/>
      </w:pPr>
      <w:r w:rsidRPr="008F46FE">
        <w:t xml:space="preserve">Наскрізні стратегічні цілі мають ключове значення для досягнення сталого розвитку </w:t>
      </w:r>
      <w:r w:rsidR="008F46FE" w:rsidRPr="008F46FE">
        <w:t>Ніжин</w:t>
      </w:r>
      <w:r w:rsidRPr="008F46FE">
        <w:t xml:space="preserve">ської міської територіальної громади. Їх реалізація передбачає </w:t>
      </w:r>
      <w:r w:rsidR="003947AE" w:rsidRPr="008F46FE">
        <w:t xml:space="preserve">забезпечення населення м. </w:t>
      </w:r>
      <w:r w:rsidR="008F46FE" w:rsidRPr="008F46FE">
        <w:t>Ніжина</w:t>
      </w:r>
      <w:r w:rsidR="00E22585" w:rsidRPr="00A51F29">
        <w:t xml:space="preserve"> </w:t>
      </w:r>
      <w:r w:rsidR="003947AE" w:rsidRPr="00A51F29">
        <w:t xml:space="preserve">якісними послугами, зокрема освітніми, </w:t>
      </w:r>
      <w:r w:rsidR="00E22585" w:rsidRPr="00A51F29">
        <w:t xml:space="preserve">з охорони здоров’я, адміністративними, </w:t>
      </w:r>
      <w:r w:rsidR="003947AE" w:rsidRPr="00A51F29">
        <w:t>комунальними</w:t>
      </w:r>
      <w:r w:rsidR="00690101" w:rsidRPr="00A51F29">
        <w:t xml:space="preserve">, </w:t>
      </w:r>
      <w:r w:rsidR="00E22585" w:rsidRPr="00A51F29">
        <w:t xml:space="preserve">транспортними, </w:t>
      </w:r>
      <w:r w:rsidR="00690101" w:rsidRPr="00A51F29">
        <w:t xml:space="preserve">соціальними </w:t>
      </w:r>
      <w:r w:rsidR="00E22585" w:rsidRPr="00A51F29">
        <w:t xml:space="preserve">тощо, </w:t>
      </w:r>
      <w:r w:rsidR="00A51F29" w:rsidRPr="00A51F29">
        <w:t>укриттями</w:t>
      </w:r>
      <w:r w:rsidR="00A51F29">
        <w:t>,</w:t>
      </w:r>
      <w:r w:rsidR="00A51F29" w:rsidRPr="00A51F29">
        <w:t xml:space="preserve"> </w:t>
      </w:r>
      <w:r w:rsidRPr="00A51F29">
        <w:t>раціональне використання енергоресурсів, впровадження енергоефективних технологій, адаптацію</w:t>
      </w:r>
      <w:r w:rsidRPr="008F46FE">
        <w:t xml:space="preserve"> інфраструктури до нових викликів та захисту навколишнього природного середовища, врахування принципів рівності, </w:t>
      </w:r>
      <w:proofErr w:type="spellStart"/>
      <w:r w:rsidRPr="008F46FE">
        <w:t>безбар’єрності</w:t>
      </w:r>
      <w:proofErr w:type="spellEnd"/>
      <w:r w:rsidRPr="008F46FE">
        <w:t>, доступності для всіх категорій населення, включаючи осіб з інвалідністю, осіб з різними функціональними порушеннями, а також людей похилого віку, незалежно від їх статі та соціального статусу.</w:t>
      </w:r>
    </w:p>
    <w:p w14:paraId="6F6F52EA" w14:textId="77777777" w:rsidR="00974CAF" w:rsidRPr="00AA28AC" w:rsidRDefault="00974CAF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highlight w:val="yellow"/>
          <w:lang w:eastAsia="uk-UA"/>
        </w:rPr>
      </w:pPr>
    </w:p>
    <w:p w14:paraId="1CCCD2F8" w14:textId="77777777" w:rsidR="00E22585" w:rsidRPr="00B10E8C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B10E8C">
        <w:rPr>
          <w:rFonts w:ascii="Times New Roman" w:hAnsi="Times New Roman"/>
          <w:i/>
          <w:color w:val="000000"/>
          <w:sz w:val="28"/>
          <w:szCs w:val="28"/>
          <w:lang w:eastAsia="uk-UA"/>
        </w:rPr>
        <w:t>Пріоритетні галузі (сектор</w:t>
      </w:r>
      <w:r w:rsidR="00DE600F" w:rsidRPr="00B10E8C">
        <w:rPr>
          <w:rFonts w:ascii="Times New Roman" w:hAnsi="Times New Roman"/>
          <w:i/>
          <w:color w:val="000000"/>
          <w:sz w:val="28"/>
          <w:szCs w:val="28"/>
          <w:lang w:eastAsia="uk-UA"/>
        </w:rPr>
        <w:t>и) для публічного інвестування</w:t>
      </w:r>
    </w:p>
    <w:p w14:paraId="78C64696" w14:textId="77777777" w:rsidR="00DE600F" w:rsidRPr="00B10E8C" w:rsidRDefault="00DE600F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16"/>
          <w:szCs w:val="16"/>
          <w:lang w:eastAsia="uk-UA"/>
        </w:rPr>
      </w:pPr>
    </w:p>
    <w:p w14:paraId="698EE82B" w14:textId="4224F2FE" w:rsidR="00E22585" w:rsidRPr="00B10E8C" w:rsidRDefault="00E22585" w:rsidP="00E22585">
      <w:pPr>
        <w:pStyle w:val="a3"/>
        <w:spacing w:before="1"/>
        <w:ind w:right="158" w:firstLine="566"/>
        <w:jc w:val="both"/>
      </w:pPr>
      <w:r w:rsidRPr="00B10E8C">
        <w:t>Пріоритетні галузі (сектори) для публічного інвестування, що містяться в Середньостроковому плані</w:t>
      </w:r>
      <w:r w:rsidR="00603204" w:rsidRPr="00B10E8C">
        <w:t>,</w:t>
      </w:r>
      <w:r w:rsidRPr="00B10E8C">
        <w:t xml:space="preserve"> є ключовими для </w:t>
      </w:r>
      <w:r w:rsidR="00B10E8C" w:rsidRPr="00B10E8C">
        <w:t>Ніжин</w:t>
      </w:r>
      <w:r w:rsidRPr="00B10E8C">
        <w:t>ської міської територіальної громади та саме на них спрямовуватимуться публічні інвестиції на середньостроковий період.</w:t>
      </w:r>
    </w:p>
    <w:p w14:paraId="2A6DA73E" w14:textId="50923E42" w:rsidR="00E22585" w:rsidRPr="000A216D" w:rsidRDefault="00E22585" w:rsidP="00E22585">
      <w:pPr>
        <w:pStyle w:val="a3"/>
        <w:ind w:right="148" w:firstLine="566"/>
        <w:jc w:val="both"/>
      </w:pPr>
      <w:r w:rsidRPr="000A216D">
        <w:lastRenderedPageBreak/>
        <w:t>Пріоритетні галузі (сектори) для публічного інвестування</w:t>
      </w:r>
      <w:r w:rsidRPr="000A216D">
        <w:rPr>
          <w:spacing w:val="40"/>
        </w:rPr>
        <w:t xml:space="preserve"> </w:t>
      </w:r>
      <w:r w:rsidRPr="000A216D">
        <w:t xml:space="preserve">були відібрані, та впорядковані на період дії </w:t>
      </w:r>
      <w:r w:rsidR="00544B1E" w:rsidRPr="000A216D">
        <w:t>С</w:t>
      </w:r>
      <w:r w:rsidRPr="000A216D">
        <w:t xml:space="preserve">ередньострокового плану, враховуючи потреби, пріоритети та спроможності </w:t>
      </w:r>
      <w:r w:rsidR="000A216D" w:rsidRPr="000A216D">
        <w:t>Ніжин</w:t>
      </w:r>
      <w:r w:rsidR="00544B1E" w:rsidRPr="000A216D">
        <w:t xml:space="preserve">ської міської територіальної </w:t>
      </w:r>
      <w:r w:rsidRPr="000A216D">
        <w:t xml:space="preserve">громади, а також вимоги Бюджетного кодексу України щодо спрямування не менше 70 відсотків обсягу публічних інвестицій на продовження (завершення) реалізації розпочатих </w:t>
      </w:r>
      <w:proofErr w:type="spellStart"/>
      <w:r w:rsidRPr="000A216D">
        <w:t>проєктів</w:t>
      </w:r>
      <w:proofErr w:type="spellEnd"/>
      <w:r w:rsidRPr="000A216D">
        <w:t xml:space="preserve"> та програм.</w:t>
      </w:r>
    </w:p>
    <w:p w14:paraId="4BB5C566" w14:textId="77777777" w:rsidR="00597A69" w:rsidRPr="00C738ED" w:rsidRDefault="00597A69" w:rsidP="00E22585">
      <w:pPr>
        <w:pStyle w:val="a3"/>
        <w:ind w:right="148" w:firstLine="566"/>
        <w:jc w:val="both"/>
      </w:pPr>
      <w:r w:rsidRPr="00C738ED">
        <w:t xml:space="preserve">До пріоритетних галузей (секторів) для публічного інвестування, визначених </w:t>
      </w:r>
      <w:r w:rsidR="00B21BD9" w:rsidRPr="00C738ED">
        <w:t>Середньостроковим планом</w:t>
      </w:r>
      <w:r w:rsidRPr="00C738ED">
        <w:t xml:space="preserve">, </w:t>
      </w:r>
      <w:r w:rsidR="00544B1E" w:rsidRPr="00C738ED">
        <w:t xml:space="preserve">пропонується визначити </w:t>
      </w:r>
      <w:r w:rsidR="005A0BAE" w:rsidRPr="00C738ED">
        <w:rPr>
          <w:lang w:val="ru-RU"/>
        </w:rPr>
        <w:t>6</w:t>
      </w:r>
      <w:r w:rsidR="000327B5" w:rsidRPr="00C738ED">
        <w:t xml:space="preserve"> </w:t>
      </w:r>
      <w:r w:rsidR="00544B1E" w:rsidRPr="00C738ED">
        <w:t>ключових сектор</w:t>
      </w:r>
      <w:r w:rsidR="005A0BAE" w:rsidRPr="00C738ED">
        <w:t>ів</w:t>
      </w:r>
      <w:r w:rsidR="00544B1E" w:rsidRPr="00C738ED">
        <w:t xml:space="preserve"> (галуз</w:t>
      </w:r>
      <w:r w:rsidR="005A0BAE" w:rsidRPr="00C738ED">
        <w:t>ей</w:t>
      </w:r>
      <w:r w:rsidR="00544B1E" w:rsidRPr="00C738ED">
        <w:t>) для публічного інвестування</w:t>
      </w:r>
      <w:r w:rsidRPr="00C738ED">
        <w:t xml:space="preserve">: </w:t>
      </w:r>
    </w:p>
    <w:p w14:paraId="1762A5A9" w14:textId="77777777" w:rsidR="00B21BD9" w:rsidRDefault="00B21BD9" w:rsidP="00B21BD9">
      <w:pPr>
        <w:pStyle w:val="a3"/>
        <w:ind w:right="148" w:firstLine="566"/>
        <w:jc w:val="both"/>
      </w:pPr>
      <w:r w:rsidRPr="00C738ED">
        <w:t xml:space="preserve">Освіта і наука; </w:t>
      </w:r>
    </w:p>
    <w:p w14:paraId="63F735E6" w14:textId="1D75E8ED" w:rsidR="00970888" w:rsidRPr="00C738ED" w:rsidRDefault="00970888" w:rsidP="00B21BD9">
      <w:pPr>
        <w:pStyle w:val="a3"/>
        <w:ind w:right="148" w:firstLine="566"/>
        <w:jc w:val="both"/>
      </w:pPr>
      <w:r w:rsidRPr="005B1B30">
        <w:t>Охорона здоров’я</w:t>
      </w:r>
      <w:r>
        <w:t>;</w:t>
      </w:r>
    </w:p>
    <w:p w14:paraId="6A0A778B" w14:textId="6183E357" w:rsidR="00DC0165" w:rsidRDefault="00DC0165" w:rsidP="00B21BD9">
      <w:pPr>
        <w:pStyle w:val="a3"/>
        <w:ind w:right="148" w:firstLine="566"/>
        <w:jc w:val="both"/>
      </w:pPr>
      <w:r w:rsidRPr="00CF3F9F">
        <w:t>Муніципальна інфраструктура</w:t>
      </w:r>
      <w:r w:rsidR="00970888">
        <w:t xml:space="preserve"> та послуги</w:t>
      </w:r>
      <w:r w:rsidR="00863E44">
        <w:t>;</w:t>
      </w:r>
    </w:p>
    <w:p w14:paraId="1E84A42F" w14:textId="1941633C" w:rsidR="00863E44" w:rsidRDefault="00863E44" w:rsidP="00B21BD9">
      <w:pPr>
        <w:pStyle w:val="a3"/>
        <w:ind w:right="148" w:firstLine="566"/>
        <w:jc w:val="both"/>
      </w:pPr>
      <w:r>
        <w:t>Культура та інформація</w:t>
      </w:r>
      <w:r w:rsidR="00970888">
        <w:t>;</w:t>
      </w:r>
    </w:p>
    <w:p w14:paraId="6A9EE51B" w14:textId="51F531F6" w:rsidR="00970888" w:rsidRPr="00CF3F9F" w:rsidRDefault="00B75C98" w:rsidP="00B21BD9">
      <w:pPr>
        <w:pStyle w:val="a3"/>
        <w:ind w:right="148" w:firstLine="566"/>
        <w:jc w:val="both"/>
      </w:pPr>
      <w:r w:rsidRPr="00B75C98">
        <w:t>Спорт та фізичне виховання</w:t>
      </w:r>
      <w:r>
        <w:t>.</w:t>
      </w:r>
    </w:p>
    <w:p w14:paraId="4491BF96" w14:textId="77777777" w:rsidR="00970888" w:rsidRPr="00AA28AC" w:rsidRDefault="00970888" w:rsidP="00B21BD9">
      <w:pPr>
        <w:pStyle w:val="a3"/>
        <w:ind w:right="148" w:firstLine="566"/>
        <w:jc w:val="both"/>
        <w:rPr>
          <w:highlight w:val="yellow"/>
        </w:rPr>
      </w:pPr>
    </w:p>
    <w:p w14:paraId="12B0ACB2" w14:textId="77777777" w:rsidR="00B21BD9" w:rsidRPr="005B1B30" w:rsidRDefault="00B21BD9" w:rsidP="00B21BD9">
      <w:pPr>
        <w:pStyle w:val="a3"/>
        <w:ind w:right="148" w:firstLine="566"/>
        <w:jc w:val="both"/>
      </w:pPr>
      <w:r w:rsidRPr="005B1B30">
        <w:t xml:space="preserve">Сектор (галузь) «Освіта і наука» спрямований на модернізацію закладів освіти, покращення їх </w:t>
      </w:r>
      <w:r w:rsidR="00603204" w:rsidRPr="005B1B30">
        <w:t xml:space="preserve">безпеки, </w:t>
      </w:r>
      <w:r w:rsidRPr="005B1B30">
        <w:t>інфр</w:t>
      </w:r>
      <w:r w:rsidR="00162063" w:rsidRPr="005B1B30">
        <w:t>аструктури, забезпечення якості</w:t>
      </w:r>
      <w:r w:rsidRPr="005B1B30">
        <w:t xml:space="preserve"> та доступності освіти.</w:t>
      </w:r>
    </w:p>
    <w:p w14:paraId="1EDDE210" w14:textId="77777777" w:rsidR="00B21BD9" w:rsidRPr="005B1B30" w:rsidRDefault="00B21BD9" w:rsidP="00B21BD9">
      <w:pPr>
        <w:pStyle w:val="a3"/>
        <w:ind w:right="148" w:firstLine="566"/>
        <w:jc w:val="both"/>
      </w:pPr>
      <w:r w:rsidRPr="005B1B30">
        <w:t>Сектор (галузь) «Охорона здоров’я» спрямовани</w:t>
      </w:r>
      <w:r w:rsidR="001B3F0B" w:rsidRPr="005B1B30">
        <w:t>й на розвиток медичних закладів, надання реабілітаційних послуг</w:t>
      </w:r>
      <w:r w:rsidR="00DF50A1" w:rsidRPr="005B1B30">
        <w:t>,</w:t>
      </w:r>
      <w:r w:rsidRPr="005B1B30">
        <w:t xml:space="preserve"> покращення доступу до медичних послуг</w:t>
      </w:r>
      <w:r w:rsidR="00DF50A1" w:rsidRPr="005B1B30">
        <w:t>,</w:t>
      </w:r>
      <w:r w:rsidRPr="005B1B30">
        <w:t xml:space="preserve"> оснащення закладів охорони здоров'я сучасним медичним обладнанням</w:t>
      </w:r>
      <w:r w:rsidR="00DF50A1" w:rsidRPr="005B1B30">
        <w:t xml:space="preserve"> та забезпечення безпеки перебування у закладах охорони здоров’я</w:t>
      </w:r>
      <w:r w:rsidRPr="005B1B30">
        <w:t>.</w:t>
      </w:r>
    </w:p>
    <w:p w14:paraId="6AB76852" w14:textId="296A93A4" w:rsidR="00DC0165" w:rsidRPr="005B1B30" w:rsidRDefault="00DC0165" w:rsidP="00DC0165">
      <w:pPr>
        <w:pStyle w:val="a3"/>
        <w:ind w:right="148" w:firstLine="566"/>
        <w:jc w:val="both"/>
      </w:pPr>
      <w:r w:rsidRPr="005B1B30">
        <w:t xml:space="preserve">Сектор (галузь) «Муніципальна інфраструктура та послуги» спрямований на </w:t>
      </w:r>
      <w:r w:rsidR="005F6CB7">
        <w:t>м</w:t>
      </w:r>
      <w:r w:rsidR="005F6CB7" w:rsidRPr="005F6CB7">
        <w:t>одернізаці</w:t>
      </w:r>
      <w:r w:rsidR="005F6CB7">
        <w:t>ю</w:t>
      </w:r>
      <w:r w:rsidR="005F6CB7" w:rsidRPr="005F6CB7">
        <w:t xml:space="preserve"> комунальної інфраструктури громади</w:t>
      </w:r>
      <w:r w:rsidR="005F6CB7">
        <w:t>, у тому числі</w:t>
      </w:r>
      <w:r w:rsidRPr="005B1B30">
        <w:t xml:space="preserve"> систем водопостачання і водовідведення</w:t>
      </w:r>
      <w:r w:rsidR="00F7222C">
        <w:t>, з</w:t>
      </w:r>
      <w:r w:rsidR="00F7222C" w:rsidRPr="00F7222C">
        <w:t>більшення генерування енергії за рахунок відновлювальних джерел</w:t>
      </w:r>
      <w:r w:rsidR="00E66F88" w:rsidRPr="005B1B30">
        <w:t>.</w:t>
      </w:r>
      <w:r w:rsidRPr="005B1B30">
        <w:t xml:space="preserve"> </w:t>
      </w:r>
    </w:p>
    <w:p w14:paraId="1929FA3E" w14:textId="779414C5" w:rsidR="002B156E" w:rsidRDefault="002B156E" w:rsidP="002B156E">
      <w:pPr>
        <w:pStyle w:val="a3"/>
        <w:ind w:right="148" w:firstLine="566"/>
        <w:jc w:val="both"/>
      </w:pPr>
      <w:r w:rsidRPr="00970888">
        <w:t>Сектор (галузь) «</w:t>
      </w:r>
      <w:r w:rsidR="00970888" w:rsidRPr="00970888">
        <w:t>Культура та інформація</w:t>
      </w:r>
      <w:r w:rsidRPr="00970888">
        <w:t xml:space="preserve">» </w:t>
      </w:r>
      <w:r w:rsidR="00970888" w:rsidRPr="00970888">
        <w:t>спрямований на збереження та розвиток культурної спадщини, формування сучасної музейної інфраструктури як інструменту зміцнення національної ідентичності, соціальної стійкості та економічного розвитку територіальн</w:t>
      </w:r>
      <w:r w:rsidR="00970888">
        <w:t>ої</w:t>
      </w:r>
      <w:r w:rsidR="00970888" w:rsidRPr="00970888">
        <w:t xml:space="preserve"> громад</w:t>
      </w:r>
      <w:r w:rsidR="00970888">
        <w:t>и.</w:t>
      </w:r>
    </w:p>
    <w:p w14:paraId="4B77717E" w14:textId="4D4BF5A4" w:rsidR="00B75C98" w:rsidRDefault="00B75C98" w:rsidP="002B156E">
      <w:pPr>
        <w:pStyle w:val="a3"/>
        <w:ind w:right="148" w:firstLine="566"/>
        <w:jc w:val="both"/>
      </w:pPr>
      <w:r w:rsidRPr="00970888">
        <w:t>Сектор (галузь) «</w:t>
      </w:r>
      <w:r w:rsidRPr="00B75C98">
        <w:t>Спорт та фізичне виховання</w:t>
      </w:r>
      <w:r w:rsidRPr="00970888">
        <w:t>» спрямований на</w:t>
      </w:r>
      <w:r>
        <w:t xml:space="preserve"> с</w:t>
      </w:r>
      <w:r w:rsidRPr="00B75C98">
        <w:t>творення сучасної спортивної інфраструктури</w:t>
      </w:r>
      <w:r>
        <w:t>,</w:t>
      </w:r>
      <w:r w:rsidRPr="00B75C98">
        <w:t xml:space="preserve"> сприяння розвитку спорту та підв</w:t>
      </w:r>
      <w:r>
        <w:t>и</w:t>
      </w:r>
      <w:r w:rsidRPr="00B75C98">
        <w:t>щенню рівня участі дітей у спортивних заходах, а також забезпечення доступу до якісних умов занять спортом для жителів громади, ветеранів війни та членів їхніх родин</w:t>
      </w:r>
      <w:r>
        <w:t>.</w:t>
      </w:r>
    </w:p>
    <w:p w14:paraId="7C7613F6" w14:textId="77777777" w:rsidR="00DE600F" w:rsidRPr="00415DFC" w:rsidRDefault="00DE600F" w:rsidP="00DE600F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proofErr w:type="spellStart"/>
      <w:r w:rsidRPr="00415DFC">
        <w:rPr>
          <w:rFonts w:ascii="Times New Roman" w:hAnsi="Times New Roman"/>
          <w:i/>
          <w:color w:val="000000"/>
          <w:sz w:val="28"/>
          <w:szCs w:val="28"/>
          <w:lang w:eastAsia="uk-UA"/>
        </w:rPr>
        <w:t>Підсектори</w:t>
      </w:r>
      <w:proofErr w:type="spellEnd"/>
      <w:r w:rsidRPr="00415DFC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 галузей (секторів) для публічного інвестування </w:t>
      </w:r>
    </w:p>
    <w:p w14:paraId="58E8B548" w14:textId="77777777" w:rsidR="00DE600F" w:rsidRPr="00415DFC" w:rsidRDefault="00DE600F" w:rsidP="00B21BD9">
      <w:pPr>
        <w:pStyle w:val="a3"/>
        <w:ind w:right="148" w:firstLine="566"/>
        <w:jc w:val="both"/>
      </w:pPr>
    </w:p>
    <w:p w14:paraId="727F812A" w14:textId="65ABAAB6" w:rsidR="00DE600F" w:rsidRPr="00415DFC" w:rsidRDefault="00DE600F" w:rsidP="00B21BD9">
      <w:pPr>
        <w:pStyle w:val="a3"/>
        <w:ind w:right="148" w:firstLine="566"/>
        <w:jc w:val="both"/>
      </w:pPr>
      <w:proofErr w:type="spellStart"/>
      <w:r w:rsidRPr="00415DFC">
        <w:t>Підсектори</w:t>
      </w:r>
      <w:proofErr w:type="spellEnd"/>
      <w:r w:rsidRPr="00415DFC">
        <w:t xml:space="preserve"> галузей (секторів) для публічного інвестування визначають конкретні сфери діяльності, що потребують фінансування та особливої уваги з боку виконавчих органів </w:t>
      </w:r>
      <w:r w:rsidR="00415DFC">
        <w:t>Ніжин</w:t>
      </w:r>
      <w:r w:rsidRPr="00415DFC">
        <w:t xml:space="preserve">ської міської ради. Їх визначення дозволяє деталізувати пріоритети та оптимізувати використання бюджетних коштів. </w:t>
      </w:r>
    </w:p>
    <w:p w14:paraId="208B2BAF" w14:textId="77777777" w:rsidR="00DE600F" w:rsidRPr="00694C3C" w:rsidRDefault="00DE600F" w:rsidP="00B21BD9">
      <w:pPr>
        <w:pStyle w:val="a3"/>
        <w:ind w:right="148" w:firstLine="566"/>
        <w:jc w:val="both"/>
      </w:pPr>
      <w:r w:rsidRPr="00694C3C">
        <w:t xml:space="preserve">У межах кожної пріоритетної галузі (сектора) для публічного інвестування формуються </w:t>
      </w:r>
      <w:proofErr w:type="spellStart"/>
      <w:r w:rsidRPr="00694C3C">
        <w:t>підсектори</w:t>
      </w:r>
      <w:proofErr w:type="spellEnd"/>
      <w:r w:rsidRPr="00694C3C">
        <w:t xml:space="preserve">, що відображають ключові напрями розвитку, які потребують публічних інвестицій. </w:t>
      </w:r>
    </w:p>
    <w:p w14:paraId="1617A321" w14:textId="77777777" w:rsidR="00DE600F" w:rsidRPr="00694C3C" w:rsidRDefault="00DE600F" w:rsidP="00B21BD9">
      <w:pPr>
        <w:pStyle w:val="a3"/>
        <w:ind w:right="148" w:firstLine="566"/>
        <w:jc w:val="both"/>
      </w:pPr>
      <w:r w:rsidRPr="00694C3C">
        <w:t xml:space="preserve">Перелік </w:t>
      </w:r>
      <w:proofErr w:type="spellStart"/>
      <w:r w:rsidRPr="00694C3C">
        <w:t>підсекторів</w:t>
      </w:r>
      <w:proofErr w:type="spellEnd"/>
      <w:r w:rsidRPr="00694C3C">
        <w:t xml:space="preserve"> галузей (секторів) для публічного інвестування та </w:t>
      </w:r>
      <w:r w:rsidRPr="00694C3C">
        <w:lastRenderedPageBreak/>
        <w:t xml:space="preserve">основних напрямів для публічного інвестування в межах таких </w:t>
      </w:r>
      <w:proofErr w:type="spellStart"/>
      <w:r w:rsidRPr="00694C3C">
        <w:t>підсекторів</w:t>
      </w:r>
      <w:proofErr w:type="spellEnd"/>
      <w:r w:rsidRPr="00694C3C">
        <w:t xml:space="preserve"> наведено у Додатку 1 до Середньострокового плану. </w:t>
      </w:r>
    </w:p>
    <w:p w14:paraId="23D9F890" w14:textId="77777777" w:rsidR="00B21BD9" w:rsidRPr="00E779CF" w:rsidRDefault="00DE600F" w:rsidP="00B21BD9">
      <w:pPr>
        <w:pStyle w:val="a3"/>
        <w:ind w:right="148" w:firstLine="566"/>
        <w:jc w:val="both"/>
      </w:pPr>
      <w:r w:rsidRPr="00E779CF">
        <w:t xml:space="preserve">Перелік </w:t>
      </w:r>
      <w:proofErr w:type="spellStart"/>
      <w:r w:rsidRPr="00E779CF">
        <w:t>підсекторів</w:t>
      </w:r>
      <w:proofErr w:type="spellEnd"/>
      <w:r w:rsidRPr="00E779CF">
        <w:t xml:space="preserve"> галузей (секторів) для публічного інвестування та інших напрямів для публічного інвестування </w:t>
      </w:r>
      <w:r w:rsidR="00603204" w:rsidRPr="00E779CF">
        <w:t>–</w:t>
      </w:r>
      <w:r w:rsidRPr="00E779CF">
        <w:t xml:space="preserve"> у Додатку 2 до Середньострокового плану.</w:t>
      </w:r>
    </w:p>
    <w:p w14:paraId="7C218267" w14:textId="77777777" w:rsidR="00DE600F" w:rsidRPr="00E779CF" w:rsidRDefault="00DE600F" w:rsidP="00B21BD9">
      <w:pPr>
        <w:pStyle w:val="a3"/>
        <w:ind w:right="148" w:firstLine="566"/>
        <w:jc w:val="both"/>
      </w:pPr>
    </w:p>
    <w:p w14:paraId="2C949E4F" w14:textId="77777777" w:rsidR="00431DD3" w:rsidRPr="00E779CF" w:rsidRDefault="00431DD3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E779CF">
        <w:rPr>
          <w:rFonts w:ascii="Times New Roman" w:hAnsi="Times New Roman"/>
          <w:i/>
          <w:color w:val="000000"/>
          <w:sz w:val="28"/>
          <w:szCs w:val="28"/>
          <w:lang w:eastAsia="uk-UA"/>
        </w:rPr>
        <w:t>Основні напрями публічного інвестування</w:t>
      </w:r>
    </w:p>
    <w:p w14:paraId="5C89FDF6" w14:textId="77777777" w:rsidR="00DE600F" w:rsidRPr="00AA28AC" w:rsidRDefault="00DE600F" w:rsidP="00266E47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highlight w:val="yellow"/>
          <w:lang w:eastAsia="uk-UA"/>
        </w:rPr>
      </w:pPr>
    </w:p>
    <w:p w14:paraId="34E0A839" w14:textId="5E1835A8" w:rsidR="00DE600F" w:rsidRPr="004E6191" w:rsidRDefault="00DE600F" w:rsidP="00DE600F">
      <w:pPr>
        <w:pStyle w:val="a3"/>
        <w:ind w:right="148" w:firstLine="566"/>
        <w:jc w:val="both"/>
      </w:pPr>
      <w:r w:rsidRPr="008B6345">
        <w:t xml:space="preserve">Основні напрями публічного інвестування узгоджуються із завданнями </w:t>
      </w:r>
      <w:r w:rsidRPr="004E6191">
        <w:t xml:space="preserve">Стратегії розвитку </w:t>
      </w:r>
      <w:r w:rsidR="008B6345" w:rsidRPr="004E6191">
        <w:t>Ніжин</w:t>
      </w:r>
      <w:r w:rsidRPr="004E6191">
        <w:t xml:space="preserve">ської </w:t>
      </w:r>
      <w:r w:rsidR="008B6345" w:rsidRPr="004E6191">
        <w:t xml:space="preserve">міської територіальної громади </w:t>
      </w:r>
      <w:r w:rsidRPr="004E6191">
        <w:t xml:space="preserve">на </w:t>
      </w:r>
      <w:r w:rsidR="004E6191" w:rsidRPr="004E6191">
        <w:t>2023 -</w:t>
      </w:r>
      <w:r w:rsidRPr="004E6191">
        <w:t xml:space="preserve"> 2027 рок</w:t>
      </w:r>
      <w:r w:rsidR="004E6191" w:rsidRPr="004E6191">
        <w:t>и</w:t>
      </w:r>
      <w:r w:rsidR="00603204" w:rsidRPr="004E6191">
        <w:t>,</w:t>
      </w:r>
      <w:r w:rsidRPr="004E6191">
        <w:rPr>
          <w:lang w:eastAsia="ru-RU"/>
        </w:rPr>
        <w:t xml:space="preserve"> затверджен</w:t>
      </w:r>
      <w:r w:rsidR="00603204" w:rsidRPr="004E6191">
        <w:rPr>
          <w:lang w:eastAsia="ru-RU"/>
        </w:rPr>
        <w:t>ої</w:t>
      </w:r>
      <w:r w:rsidRPr="004E6191">
        <w:rPr>
          <w:lang w:eastAsia="ru-RU"/>
        </w:rPr>
        <w:t xml:space="preserve"> рішенням </w:t>
      </w:r>
      <w:r w:rsidR="004E6191" w:rsidRPr="004E6191">
        <w:rPr>
          <w:lang w:eastAsia="ru-RU"/>
        </w:rPr>
        <w:t xml:space="preserve">Ніжинської міської ради </w:t>
      </w:r>
      <w:r w:rsidRPr="004E6191">
        <w:rPr>
          <w:lang w:eastAsia="ru-RU"/>
        </w:rPr>
        <w:t xml:space="preserve">від </w:t>
      </w:r>
      <w:r w:rsidR="004E6191" w:rsidRPr="004E6191">
        <w:rPr>
          <w:lang w:eastAsia="ru-RU"/>
        </w:rPr>
        <w:t>20</w:t>
      </w:r>
      <w:r w:rsidRPr="004E6191">
        <w:rPr>
          <w:lang w:eastAsia="ru-RU"/>
        </w:rPr>
        <w:t xml:space="preserve"> </w:t>
      </w:r>
      <w:r w:rsidR="004E6191" w:rsidRPr="004E6191">
        <w:rPr>
          <w:lang w:eastAsia="ru-RU"/>
        </w:rPr>
        <w:t>червня</w:t>
      </w:r>
      <w:r w:rsidRPr="004E6191">
        <w:rPr>
          <w:lang w:eastAsia="ru-RU"/>
        </w:rPr>
        <w:t> 20</w:t>
      </w:r>
      <w:r w:rsidR="004E6191" w:rsidRPr="004E6191">
        <w:rPr>
          <w:lang w:eastAsia="ru-RU"/>
        </w:rPr>
        <w:t>23</w:t>
      </w:r>
      <w:r w:rsidRPr="004E6191">
        <w:rPr>
          <w:lang w:eastAsia="ru-RU"/>
        </w:rPr>
        <w:t xml:space="preserve"> року № </w:t>
      </w:r>
      <w:r w:rsidR="004E6191" w:rsidRPr="004E6191">
        <w:rPr>
          <w:lang w:eastAsia="ru-RU"/>
        </w:rPr>
        <w:t>2</w:t>
      </w:r>
      <w:r w:rsidRPr="004E6191">
        <w:rPr>
          <w:lang w:eastAsia="ru-RU"/>
        </w:rPr>
        <w:t>-</w:t>
      </w:r>
      <w:r w:rsidR="004E6191" w:rsidRPr="004E6191">
        <w:rPr>
          <w:lang w:eastAsia="ru-RU"/>
        </w:rPr>
        <w:t>3</w:t>
      </w:r>
      <w:r w:rsidRPr="004E6191">
        <w:rPr>
          <w:lang w:eastAsia="ru-RU"/>
        </w:rPr>
        <w:t>1/</w:t>
      </w:r>
      <w:r w:rsidR="004E6191" w:rsidRPr="004E6191">
        <w:rPr>
          <w:lang w:eastAsia="ru-RU"/>
        </w:rPr>
        <w:t>2023</w:t>
      </w:r>
      <w:r w:rsidRPr="004E6191">
        <w:rPr>
          <w:lang w:eastAsia="ru-RU"/>
        </w:rPr>
        <w:t>,</w:t>
      </w:r>
      <w:r w:rsidRPr="004E6191">
        <w:t xml:space="preserve"> та мають найвищий рівень пріоритетності серед інших напрямів відповідної галузі (сектора) для отримання фінансування. </w:t>
      </w:r>
    </w:p>
    <w:p w14:paraId="29A27517" w14:textId="651CB7AC" w:rsidR="00DE600F" w:rsidRPr="009226A9" w:rsidRDefault="00DE600F" w:rsidP="00DE600F">
      <w:pPr>
        <w:pStyle w:val="a3"/>
        <w:ind w:right="148" w:firstLine="566"/>
        <w:jc w:val="both"/>
      </w:pPr>
      <w:r w:rsidRPr="008A7D9D">
        <w:t xml:space="preserve">Формування основних напрямів публічного інвестування здійснювалось на основі пропозицій </w:t>
      </w:r>
      <w:r w:rsidR="008A7D9D" w:rsidRPr="008A7D9D">
        <w:rPr>
          <w:color w:val="333333"/>
          <w:shd w:val="clear" w:color="auto" w:fill="FFFFFF"/>
        </w:rPr>
        <w:t>структурних підрозділів</w:t>
      </w:r>
      <w:r w:rsidR="008A7D9D" w:rsidRPr="008A7D9D">
        <w:t xml:space="preserve"> виконавчого комітету Ніжинської міської ради та виконавчих органів Ніжинської міської ради</w:t>
      </w:r>
      <w:r w:rsidRPr="008A7D9D">
        <w:t xml:space="preserve">, відповідальних за </w:t>
      </w:r>
      <w:r w:rsidR="006F5BDA" w:rsidRPr="008A7D9D">
        <w:t xml:space="preserve">підготовку публічних інвестиційних </w:t>
      </w:r>
      <w:proofErr w:type="spellStart"/>
      <w:r w:rsidR="006F5BDA" w:rsidRPr="008A7D9D">
        <w:t>проєктів</w:t>
      </w:r>
      <w:proofErr w:type="spellEnd"/>
      <w:r w:rsidR="006F5BDA" w:rsidRPr="008A7D9D">
        <w:t xml:space="preserve"> і програм публічних інвестицій, їх оцінку, формування галузевих (секторальних) </w:t>
      </w:r>
      <w:proofErr w:type="spellStart"/>
      <w:r w:rsidR="006F5BDA" w:rsidRPr="008A7D9D">
        <w:t>проєктних</w:t>
      </w:r>
      <w:proofErr w:type="spellEnd"/>
      <w:r w:rsidR="006F5BDA" w:rsidRPr="008A7D9D">
        <w:t xml:space="preserve"> портфелів </w:t>
      </w:r>
      <w:r w:rsidR="008A7D9D" w:rsidRPr="008A7D9D">
        <w:t>Ніжин</w:t>
      </w:r>
      <w:r w:rsidR="006F5BDA" w:rsidRPr="008A7D9D">
        <w:t xml:space="preserve">ської міської територіальної громади та управління публічними інвестиціями у галузях (секторах) (далі – відповідальні структурні підрозділи), </w:t>
      </w:r>
      <w:r w:rsidRPr="008A7D9D">
        <w:t xml:space="preserve">з урахуванням завдань, визначених </w:t>
      </w:r>
      <w:r w:rsidR="00A463B6" w:rsidRPr="008A7D9D">
        <w:t xml:space="preserve">Державною стратегією регіонального розвитку України на 2021-2027 роки (як </w:t>
      </w:r>
      <w:proofErr w:type="spellStart"/>
      <w:r w:rsidR="00A463B6" w:rsidRPr="008A7D9D">
        <w:t>кроссекторальною</w:t>
      </w:r>
      <w:proofErr w:type="spellEnd"/>
      <w:r w:rsidR="00A463B6" w:rsidRPr="008A7D9D">
        <w:t xml:space="preserve"> стратегією), </w:t>
      </w:r>
      <w:r w:rsidR="006F5BDA" w:rsidRPr="008A7D9D">
        <w:t xml:space="preserve">Стратегією </w:t>
      </w:r>
      <w:r w:rsidR="008A7D9D" w:rsidRPr="008A7D9D">
        <w:t xml:space="preserve">розвитку Ніжинської міської територіальної громади на 2023 - 2027 роки </w:t>
      </w:r>
      <w:r w:rsidR="00A463B6" w:rsidRPr="008A7D9D">
        <w:t xml:space="preserve">та іншими стратегічними документами, </w:t>
      </w:r>
      <w:r w:rsidRPr="008A7D9D">
        <w:t xml:space="preserve">а також з урахуванням наявності діючих </w:t>
      </w:r>
      <w:proofErr w:type="spellStart"/>
      <w:r w:rsidRPr="008A7D9D">
        <w:t>про</w:t>
      </w:r>
      <w:r w:rsidR="00603204" w:rsidRPr="008A7D9D">
        <w:t>є</w:t>
      </w:r>
      <w:r w:rsidRPr="008A7D9D">
        <w:t>ктів</w:t>
      </w:r>
      <w:proofErr w:type="spellEnd"/>
      <w:r w:rsidRPr="008A7D9D">
        <w:t xml:space="preserve"> за відповідними напрямами. </w:t>
      </w:r>
      <w:r w:rsidR="00852564" w:rsidRPr="008A7D9D">
        <w:t xml:space="preserve">Відповідальними </w:t>
      </w:r>
      <w:r w:rsidR="008A7D9D" w:rsidRPr="008A7D9D">
        <w:t xml:space="preserve">структурними підрозділами виконавчого комітету Ніжинської міської ради та виконавчими органами Ніжинської міської ради </w:t>
      </w:r>
      <w:r w:rsidRPr="008A7D9D">
        <w:t xml:space="preserve">було подано до </w:t>
      </w:r>
      <w:r w:rsidR="008A7D9D" w:rsidRPr="008A7D9D">
        <w:t xml:space="preserve">відділу економіки виконавчого комітету Ніжинської міської </w:t>
      </w:r>
      <w:r w:rsidR="008A7D9D" w:rsidRPr="009226A9">
        <w:t xml:space="preserve">ради </w:t>
      </w:r>
      <w:r w:rsidR="009226A9" w:rsidRPr="009226A9">
        <w:t>6</w:t>
      </w:r>
      <w:r w:rsidRPr="009226A9">
        <w:t xml:space="preserve"> пропозицій до </w:t>
      </w:r>
      <w:r w:rsidR="00752AAE" w:rsidRPr="009226A9">
        <w:t>С</w:t>
      </w:r>
      <w:r w:rsidRPr="009226A9">
        <w:t xml:space="preserve">ередньострокового плану, що містили </w:t>
      </w:r>
      <w:r w:rsidR="009226A9" w:rsidRPr="009226A9">
        <w:t>16</w:t>
      </w:r>
      <w:r w:rsidRPr="009226A9">
        <w:t xml:space="preserve"> напрямів для публічного інвестування, з них </w:t>
      </w:r>
      <w:r w:rsidR="009226A9" w:rsidRPr="009226A9">
        <w:t>5</w:t>
      </w:r>
      <w:r w:rsidR="002C28E1" w:rsidRPr="009226A9">
        <w:t xml:space="preserve"> </w:t>
      </w:r>
      <w:r w:rsidRPr="009226A9">
        <w:t>визначено основними та включено в Додаток</w:t>
      </w:r>
      <w:r w:rsidR="00E9523D" w:rsidRPr="009226A9">
        <w:t> </w:t>
      </w:r>
      <w:r w:rsidRPr="009226A9">
        <w:t xml:space="preserve">1 до цього плану, </w:t>
      </w:r>
      <w:r w:rsidR="00AB3653" w:rsidRPr="009226A9">
        <w:t>1</w:t>
      </w:r>
      <w:r w:rsidR="009226A9" w:rsidRPr="009226A9">
        <w:t>1</w:t>
      </w:r>
      <w:r w:rsidRPr="009226A9">
        <w:t xml:space="preserve"> напрямів для публічного інвестування відображені у Додатку 2. </w:t>
      </w:r>
    </w:p>
    <w:p w14:paraId="444E4A55" w14:textId="77777777" w:rsidR="006F5BDA" w:rsidRPr="008415E0" w:rsidRDefault="00431DD3" w:rsidP="00974CAF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8415E0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Орієнтовний граничний сукупний обсяг публічних інвестицій </w:t>
      </w:r>
    </w:p>
    <w:p w14:paraId="0A867174" w14:textId="77777777" w:rsidR="006A2A83" w:rsidRPr="008415E0" w:rsidRDefault="00431DD3" w:rsidP="00974CAF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8415E0">
        <w:rPr>
          <w:rFonts w:ascii="Times New Roman" w:hAnsi="Times New Roman"/>
          <w:i/>
          <w:color w:val="000000"/>
          <w:sz w:val="28"/>
          <w:szCs w:val="28"/>
          <w:lang w:eastAsia="uk-UA"/>
        </w:rPr>
        <w:t xml:space="preserve">на </w:t>
      </w:r>
      <w:r w:rsidR="006F5BDA" w:rsidRPr="008415E0">
        <w:rPr>
          <w:rFonts w:ascii="Times New Roman" w:hAnsi="Times New Roman"/>
          <w:i/>
          <w:color w:val="000000"/>
          <w:sz w:val="28"/>
          <w:szCs w:val="28"/>
          <w:lang w:eastAsia="uk-UA"/>
        </w:rPr>
        <w:t>2026-2028 роки</w:t>
      </w:r>
    </w:p>
    <w:p w14:paraId="62BB290F" w14:textId="77777777" w:rsidR="002E62AD" w:rsidRPr="008415E0" w:rsidRDefault="002E62AD" w:rsidP="00974CAF">
      <w:pPr>
        <w:pStyle w:val="a3"/>
        <w:spacing w:before="100" w:beforeAutospacing="1"/>
        <w:ind w:firstLine="707"/>
        <w:jc w:val="both"/>
      </w:pPr>
      <w:r w:rsidRPr="008415E0">
        <w:t xml:space="preserve">Орієнтовний граничний сукупний обсяг публічних інвестицій на 2026– 2028 роки в розрізі джерел фінансового забезпечення та за роками становить:                                         </w:t>
      </w:r>
    </w:p>
    <w:p w14:paraId="41230DF3" w14:textId="77777777" w:rsidR="00702070" w:rsidRPr="008415E0" w:rsidRDefault="002E62AD" w:rsidP="002E62AD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 w:rsidRPr="008415E0">
        <w:rPr>
          <w:rFonts w:ascii="Times New Roman" w:hAnsi="Times New Roman"/>
          <w:i/>
          <w:color w:val="000000"/>
          <w:sz w:val="28"/>
          <w:szCs w:val="28"/>
          <w:lang w:eastAsia="uk-UA"/>
        </w:rPr>
        <w:t>гривень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51"/>
        <w:gridCol w:w="1826"/>
        <w:gridCol w:w="1826"/>
        <w:gridCol w:w="1826"/>
      </w:tblGrid>
      <w:tr w:rsidR="002E62AD" w:rsidRPr="00AA28AC" w14:paraId="75D541BD" w14:textId="77777777" w:rsidTr="007D3930">
        <w:tc>
          <w:tcPr>
            <w:tcW w:w="4151" w:type="dxa"/>
          </w:tcPr>
          <w:p w14:paraId="78DAF386" w14:textId="77777777" w:rsidR="002E62AD" w:rsidRPr="004E0507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sz w:val="28"/>
                <w:szCs w:val="28"/>
                <w:lang w:val="uk-UA" w:eastAsia="en-US"/>
              </w:rPr>
              <w:t>Джерело фінансового забезпечення</w:t>
            </w:r>
          </w:p>
        </w:tc>
        <w:tc>
          <w:tcPr>
            <w:tcW w:w="1826" w:type="dxa"/>
          </w:tcPr>
          <w:p w14:paraId="02BD4A21" w14:textId="77777777" w:rsidR="002E62AD" w:rsidRPr="004E0507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 xml:space="preserve">2026 </w:t>
            </w:r>
            <w:proofErr w:type="spellStart"/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>рік</w:t>
            </w:r>
            <w:proofErr w:type="spellEnd"/>
          </w:p>
        </w:tc>
        <w:tc>
          <w:tcPr>
            <w:tcW w:w="1826" w:type="dxa"/>
          </w:tcPr>
          <w:p w14:paraId="32D17D93" w14:textId="77777777" w:rsidR="002E62AD" w:rsidRPr="004E0507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 xml:space="preserve">2027 </w:t>
            </w:r>
            <w:proofErr w:type="spellStart"/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>рік</w:t>
            </w:r>
            <w:proofErr w:type="spellEnd"/>
          </w:p>
        </w:tc>
        <w:tc>
          <w:tcPr>
            <w:tcW w:w="1826" w:type="dxa"/>
          </w:tcPr>
          <w:p w14:paraId="29CB42FA" w14:textId="77777777" w:rsidR="002E62AD" w:rsidRPr="004E0507" w:rsidRDefault="002E62AD" w:rsidP="00266E47">
            <w:pPr>
              <w:jc w:val="center"/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 xml:space="preserve">2028 </w:t>
            </w:r>
            <w:proofErr w:type="spellStart"/>
            <w:r w:rsidRPr="004E0507">
              <w:rPr>
                <w:b/>
                <w:i/>
                <w:iCs/>
                <w:color w:val="000000"/>
                <w:sz w:val="28"/>
                <w:szCs w:val="28"/>
                <w:lang w:eastAsia="uk-UA"/>
              </w:rPr>
              <w:t>рік</w:t>
            </w:r>
            <w:proofErr w:type="spellEnd"/>
          </w:p>
        </w:tc>
      </w:tr>
      <w:tr w:rsidR="00DF5C63" w:rsidRPr="00AA28AC" w14:paraId="1A4765CD" w14:textId="77777777" w:rsidTr="007D3930">
        <w:tc>
          <w:tcPr>
            <w:tcW w:w="4151" w:type="dxa"/>
          </w:tcPr>
          <w:p w14:paraId="1147F676" w14:textId="77777777" w:rsidR="00DF5C63" w:rsidRPr="0074353E" w:rsidRDefault="00DF5C63" w:rsidP="00DF5C63">
            <w:pPr>
              <w:jc w:val="both"/>
              <w:rPr>
                <w:b/>
                <w:iCs/>
                <w:color w:val="000000"/>
                <w:sz w:val="28"/>
                <w:szCs w:val="28"/>
                <w:lang w:val="uk-UA" w:eastAsia="uk-UA"/>
              </w:rPr>
            </w:pPr>
            <w:r w:rsidRPr="0074353E">
              <w:rPr>
                <w:b/>
                <w:iCs/>
                <w:color w:val="000000"/>
                <w:sz w:val="28"/>
                <w:szCs w:val="28"/>
                <w:lang w:val="uk-UA" w:eastAsia="uk-UA"/>
              </w:rPr>
              <w:t>Сукупний обсяг фінансування</w:t>
            </w:r>
          </w:p>
        </w:tc>
        <w:tc>
          <w:tcPr>
            <w:tcW w:w="1826" w:type="dxa"/>
          </w:tcPr>
          <w:p w14:paraId="10C6B7A8" w14:textId="537EBB5E" w:rsidR="00DF5C63" w:rsidRPr="00990732" w:rsidRDefault="00EF466A" w:rsidP="00DF5C63">
            <w:pPr>
              <w:rPr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990732">
              <w:rPr>
                <w:b/>
                <w:iCs/>
                <w:color w:val="000000"/>
                <w:sz w:val="24"/>
                <w:szCs w:val="24"/>
                <w:lang w:val="uk-UA" w:eastAsia="uk-UA"/>
              </w:rPr>
              <w:t>58 128 584,00</w:t>
            </w:r>
          </w:p>
        </w:tc>
        <w:tc>
          <w:tcPr>
            <w:tcW w:w="1826" w:type="dxa"/>
          </w:tcPr>
          <w:p w14:paraId="328050A5" w14:textId="635DDCFB" w:rsidR="00DF5C63" w:rsidRPr="00990732" w:rsidRDefault="00EF466A" w:rsidP="00DF5C63">
            <w:pPr>
              <w:rPr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990732">
              <w:rPr>
                <w:b/>
                <w:iCs/>
                <w:color w:val="000000"/>
                <w:sz w:val="24"/>
                <w:szCs w:val="24"/>
                <w:lang w:val="uk-UA" w:eastAsia="uk-UA"/>
              </w:rPr>
              <w:t>69 276 443,00</w:t>
            </w:r>
          </w:p>
        </w:tc>
        <w:tc>
          <w:tcPr>
            <w:tcW w:w="1826" w:type="dxa"/>
          </w:tcPr>
          <w:p w14:paraId="7FA28EA6" w14:textId="2DA33037" w:rsidR="00DF5C63" w:rsidRPr="00990732" w:rsidRDefault="00EF466A" w:rsidP="00DF5C63">
            <w:pPr>
              <w:rPr>
                <w:b/>
                <w:iCs/>
                <w:color w:val="000000"/>
                <w:sz w:val="24"/>
                <w:szCs w:val="24"/>
                <w:lang w:val="uk-UA" w:eastAsia="uk-UA"/>
              </w:rPr>
            </w:pPr>
            <w:r w:rsidRPr="00990732">
              <w:rPr>
                <w:b/>
                <w:iCs/>
                <w:color w:val="000000"/>
                <w:sz w:val="24"/>
                <w:szCs w:val="24"/>
                <w:lang w:val="uk-UA" w:eastAsia="uk-UA"/>
              </w:rPr>
              <w:t>72 244 489,00</w:t>
            </w:r>
          </w:p>
        </w:tc>
      </w:tr>
      <w:tr w:rsidR="002E62AD" w:rsidRPr="00AA28AC" w14:paraId="29D3DB39" w14:textId="77777777" w:rsidTr="007D3930">
        <w:tc>
          <w:tcPr>
            <w:tcW w:w="4151" w:type="dxa"/>
          </w:tcPr>
          <w:p w14:paraId="401927BD" w14:textId="77777777" w:rsidR="002E62AD" w:rsidRPr="007D3930" w:rsidRDefault="002E62AD" w:rsidP="002E62AD">
            <w:pPr>
              <w:rPr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7D3930">
              <w:rPr>
                <w:i/>
                <w:iCs/>
                <w:color w:val="000000"/>
                <w:sz w:val="28"/>
                <w:szCs w:val="28"/>
                <w:lang w:val="uk-UA" w:eastAsia="uk-UA"/>
              </w:rPr>
              <w:t>у тому числі:</w:t>
            </w:r>
          </w:p>
        </w:tc>
        <w:tc>
          <w:tcPr>
            <w:tcW w:w="1826" w:type="dxa"/>
          </w:tcPr>
          <w:p w14:paraId="20165554" w14:textId="77777777" w:rsidR="002E62AD" w:rsidRPr="00990732" w:rsidRDefault="002E62AD" w:rsidP="00266E47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</w:tcPr>
          <w:p w14:paraId="13D43EED" w14:textId="77777777" w:rsidR="002E62AD" w:rsidRPr="00990732" w:rsidRDefault="002E62AD" w:rsidP="00266E47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6" w:type="dxa"/>
          </w:tcPr>
          <w:p w14:paraId="507EC18B" w14:textId="77777777" w:rsidR="002E62AD" w:rsidRPr="00990732" w:rsidRDefault="002E62AD" w:rsidP="00266E47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7D3930" w:rsidRPr="00AA28AC" w14:paraId="1EE5C3DD" w14:textId="77777777" w:rsidTr="007D3930">
        <w:tc>
          <w:tcPr>
            <w:tcW w:w="4151" w:type="dxa"/>
          </w:tcPr>
          <w:p w14:paraId="3F8DD87F" w14:textId="094DEF89" w:rsidR="007D3930" w:rsidRPr="007D3930" w:rsidRDefault="007D3930" w:rsidP="007D3930">
            <w:pPr>
              <w:jc w:val="both"/>
              <w:rPr>
                <w:iCs/>
                <w:color w:val="000000"/>
                <w:sz w:val="28"/>
                <w:szCs w:val="28"/>
                <w:lang w:val="uk-UA" w:eastAsia="uk-UA"/>
              </w:rPr>
            </w:pPr>
            <w:r w:rsidRPr="007D3930">
              <w:rPr>
                <w:iCs/>
                <w:color w:val="000000"/>
                <w:sz w:val="28"/>
                <w:szCs w:val="28"/>
                <w:lang w:val="uk-UA" w:eastAsia="uk-UA"/>
              </w:rPr>
              <w:t>Кошти бюджету Ніжинської міської територіальної громади</w:t>
            </w:r>
          </w:p>
        </w:tc>
        <w:tc>
          <w:tcPr>
            <w:tcW w:w="1826" w:type="dxa"/>
          </w:tcPr>
          <w:p w14:paraId="3FB76238" w14:textId="68C683FE" w:rsidR="007D3930" w:rsidRPr="00990732" w:rsidRDefault="007D3930" w:rsidP="007D3930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990732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13 150 000,00</w:t>
            </w:r>
          </w:p>
        </w:tc>
        <w:tc>
          <w:tcPr>
            <w:tcW w:w="1826" w:type="dxa"/>
          </w:tcPr>
          <w:p w14:paraId="793FCF43" w14:textId="22C287B5" w:rsidR="007D3930" w:rsidRPr="00990732" w:rsidRDefault="007D3930" w:rsidP="007D3930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990732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19 800 000,00</w:t>
            </w:r>
          </w:p>
        </w:tc>
        <w:tc>
          <w:tcPr>
            <w:tcW w:w="1826" w:type="dxa"/>
          </w:tcPr>
          <w:p w14:paraId="1FFF4423" w14:textId="1BDCFBD4" w:rsidR="007D3930" w:rsidRPr="00990732" w:rsidRDefault="007D3930" w:rsidP="007D3930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</w:pPr>
            <w:r w:rsidRPr="00990732">
              <w:rPr>
                <w:bCs/>
                <w:iCs/>
                <w:color w:val="000000"/>
                <w:sz w:val="24"/>
                <w:szCs w:val="24"/>
                <w:lang w:val="uk-UA" w:eastAsia="uk-UA"/>
              </w:rPr>
              <w:t>17 820 400,00</w:t>
            </w:r>
          </w:p>
        </w:tc>
      </w:tr>
      <w:tr w:rsidR="007D3930" w:rsidRPr="00AA28AC" w14:paraId="70C6B535" w14:textId="77777777" w:rsidTr="007D3930">
        <w:tc>
          <w:tcPr>
            <w:tcW w:w="4151" w:type="dxa"/>
          </w:tcPr>
          <w:p w14:paraId="6F97C442" w14:textId="77777777" w:rsidR="007D3930" w:rsidRPr="007D3930" w:rsidRDefault="007D3930" w:rsidP="007D3930">
            <w:pPr>
              <w:jc w:val="both"/>
              <w:rPr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D3930">
              <w:rPr>
                <w:iCs/>
                <w:color w:val="000000"/>
                <w:sz w:val="28"/>
                <w:szCs w:val="28"/>
                <w:lang w:eastAsia="uk-UA"/>
              </w:rPr>
              <w:t>Інші</w:t>
            </w:r>
            <w:proofErr w:type="spellEnd"/>
            <w:r w:rsidRPr="007D3930"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D3930">
              <w:rPr>
                <w:iCs/>
                <w:color w:val="000000"/>
                <w:sz w:val="28"/>
                <w:szCs w:val="28"/>
                <w:lang w:eastAsia="uk-UA"/>
              </w:rPr>
              <w:t>джерела</w:t>
            </w:r>
            <w:proofErr w:type="spellEnd"/>
          </w:p>
        </w:tc>
        <w:tc>
          <w:tcPr>
            <w:tcW w:w="1826" w:type="dxa"/>
          </w:tcPr>
          <w:p w14:paraId="2C51030D" w14:textId="2EA60DAE" w:rsidR="007D3930" w:rsidRPr="00967387" w:rsidRDefault="00967387" w:rsidP="007D3930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  <w:r w:rsidRPr="00967387">
              <w:rPr>
                <w:iCs/>
                <w:color w:val="000000"/>
                <w:sz w:val="24"/>
                <w:szCs w:val="24"/>
                <w:lang w:val="uk-UA" w:eastAsia="uk-UA"/>
              </w:rPr>
              <w:t>44 978 584,00</w:t>
            </w:r>
          </w:p>
        </w:tc>
        <w:tc>
          <w:tcPr>
            <w:tcW w:w="1826" w:type="dxa"/>
          </w:tcPr>
          <w:p w14:paraId="3AEED2EE" w14:textId="1AEA21F5" w:rsidR="007D3930" w:rsidRPr="00967387" w:rsidRDefault="00967387" w:rsidP="007D3930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  <w:r w:rsidRPr="00967387">
              <w:rPr>
                <w:iCs/>
                <w:color w:val="000000"/>
                <w:sz w:val="24"/>
                <w:szCs w:val="24"/>
                <w:lang w:val="uk-UA" w:eastAsia="uk-UA"/>
              </w:rPr>
              <w:t>49 476 443,00</w:t>
            </w:r>
          </w:p>
        </w:tc>
        <w:tc>
          <w:tcPr>
            <w:tcW w:w="1826" w:type="dxa"/>
          </w:tcPr>
          <w:p w14:paraId="771EB9B1" w14:textId="162747F9" w:rsidR="007D3930" w:rsidRPr="00967387" w:rsidRDefault="00967387" w:rsidP="007D3930">
            <w:pPr>
              <w:jc w:val="center"/>
              <w:rPr>
                <w:i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iCs/>
                <w:color w:val="000000"/>
                <w:sz w:val="24"/>
                <w:szCs w:val="24"/>
                <w:lang w:val="uk-UA" w:eastAsia="uk-UA"/>
              </w:rPr>
              <w:t>54 424 089,00</w:t>
            </w:r>
          </w:p>
        </w:tc>
      </w:tr>
    </w:tbl>
    <w:p w14:paraId="1222A07A" w14:textId="77777777" w:rsidR="00431DD3" w:rsidRPr="00AA28AC" w:rsidRDefault="00431DD3" w:rsidP="00266E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</w:rPr>
      </w:pPr>
    </w:p>
    <w:p w14:paraId="3D1DA5D9" w14:textId="3E61FD21" w:rsidR="00BC5E8A" w:rsidRPr="00752E85" w:rsidRDefault="00BC5E8A" w:rsidP="00BC5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E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Розподіл орієнтовного граничного сукупного обсягу публічних інвестицій на 2026-2028 роки на сектори (галузі) для публічного інвестування в межах доведеного фінансовим управлінням </w:t>
      </w:r>
      <w:r w:rsidR="00752E85" w:rsidRPr="00752E85">
        <w:rPr>
          <w:rFonts w:ascii="Times New Roman" w:eastAsia="Times New Roman" w:hAnsi="Times New Roman" w:cs="Times New Roman"/>
          <w:sz w:val="28"/>
          <w:szCs w:val="28"/>
        </w:rPr>
        <w:t>Ніжинської</w:t>
      </w:r>
      <w:r w:rsidRPr="00752E85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орієнтовного граничного сукупного обсягу публічних інвестицій на </w:t>
      </w:r>
      <w:r w:rsidR="0001025E" w:rsidRPr="00752E85">
        <w:rPr>
          <w:rFonts w:ascii="Times New Roman" w:eastAsia="Times New Roman" w:hAnsi="Times New Roman" w:cs="Times New Roman"/>
          <w:sz w:val="28"/>
          <w:szCs w:val="28"/>
        </w:rPr>
        <w:t>2026-2028 роки</w:t>
      </w:r>
      <w:r w:rsidRPr="00752E85">
        <w:rPr>
          <w:rFonts w:ascii="Times New Roman" w:eastAsia="Times New Roman" w:hAnsi="Times New Roman" w:cs="Times New Roman"/>
          <w:sz w:val="28"/>
          <w:szCs w:val="28"/>
        </w:rPr>
        <w:t xml:space="preserve"> має </w:t>
      </w:r>
      <w:r w:rsidR="00F82F9C" w:rsidRPr="00752E85">
        <w:rPr>
          <w:rFonts w:ascii="Times New Roman" w:eastAsia="Times New Roman" w:hAnsi="Times New Roman" w:cs="Times New Roman"/>
          <w:sz w:val="28"/>
          <w:szCs w:val="28"/>
        </w:rPr>
        <w:t>наступну</w:t>
      </w:r>
      <w:r w:rsidRPr="00752E85">
        <w:rPr>
          <w:rFonts w:ascii="Times New Roman" w:eastAsia="Times New Roman" w:hAnsi="Times New Roman" w:cs="Times New Roman"/>
          <w:sz w:val="28"/>
          <w:szCs w:val="28"/>
        </w:rPr>
        <w:t xml:space="preserve"> структуру:</w:t>
      </w:r>
    </w:p>
    <w:p w14:paraId="3570591D" w14:textId="26B8F76C" w:rsidR="005B4DE9" w:rsidRDefault="00305FE7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uk-UA"/>
        </w:rPr>
        <w:t>г</w:t>
      </w:r>
      <w:r w:rsidR="005B4DE9" w:rsidRPr="00B23A63">
        <w:rPr>
          <w:rFonts w:ascii="Times New Roman" w:hAnsi="Times New Roman"/>
          <w:i/>
          <w:color w:val="000000"/>
          <w:sz w:val="28"/>
          <w:szCs w:val="28"/>
          <w:lang w:eastAsia="uk-UA"/>
        </w:rPr>
        <w:t>ривень</w:t>
      </w:r>
    </w:p>
    <w:tbl>
      <w:tblPr>
        <w:tblW w:w="10277" w:type="dxa"/>
        <w:tblLook w:val="04A0" w:firstRow="1" w:lastRow="0" w:firstColumn="1" w:lastColumn="0" w:noHBand="0" w:noVBand="1"/>
      </w:tblPr>
      <w:tblGrid>
        <w:gridCol w:w="2684"/>
        <w:gridCol w:w="1559"/>
        <w:gridCol w:w="1418"/>
        <w:gridCol w:w="1417"/>
        <w:gridCol w:w="1418"/>
        <w:gridCol w:w="1559"/>
        <w:gridCol w:w="222"/>
      </w:tblGrid>
      <w:tr w:rsidR="009F4378" w:rsidRPr="00F72575" w14:paraId="5935930A" w14:textId="77777777" w:rsidTr="009F4378">
        <w:trPr>
          <w:gridAfter w:val="1"/>
          <w:wAfter w:w="222" w:type="dxa"/>
          <w:trHeight w:val="102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AB74B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Галузь (сектор)/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A9B5B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Джерела </w:t>
            </w:r>
            <w:proofErr w:type="spellStart"/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фінансу-вання</w:t>
            </w:r>
            <w:proofErr w:type="spellEnd"/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6AEFA" w14:textId="7B649BB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Граничний розподіл на 2026 рік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37A25" w14:textId="5DB6AA86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Граничний розподіл на 2027 рік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1C8AA" w14:textId="43B8B803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Граничний розподіл на 2028 рік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BF8D3" w14:textId="2078230F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Граничний розподіл на 2026-2028 роки</w:t>
            </w:r>
          </w:p>
        </w:tc>
      </w:tr>
      <w:tr w:rsidR="009F4378" w:rsidRPr="00F72575" w14:paraId="1EA1CF7E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6BF0C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напрям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C1616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82507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171FC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E8E5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F85A02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9F4378" w:rsidRPr="00F72575" w14:paraId="6E9936EE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0A1D7FC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Освіта і наука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BE7B5C4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334E42A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24600966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F21EF6E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33961062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3EB3671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34012169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1943A9B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92574197</w:t>
            </w:r>
          </w:p>
        </w:tc>
      </w:tr>
      <w:tr w:rsidR="009F4378" w:rsidRPr="00F72575" w14:paraId="1D627D85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D3483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F34365E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1169781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ABF044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12950000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D151960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10900000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D7B4714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29350000</w:t>
            </w:r>
          </w:p>
        </w:tc>
      </w:tr>
      <w:tr w:rsidR="009F4378" w:rsidRPr="00F72575" w14:paraId="13A3193A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61415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AED4F61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D0B2FB4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19100966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131E2B6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21011062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1D31D2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23112169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B136F56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63224197</w:t>
            </w:r>
          </w:p>
        </w:tc>
      </w:tr>
      <w:tr w:rsidR="009F4378" w:rsidRPr="00F72575" w14:paraId="586FEDD8" w14:textId="77777777" w:rsidTr="009F4378">
        <w:trPr>
          <w:gridAfter w:val="1"/>
          <w:wAfter w:w="222" w:type="dxa"/>
          <w:trHeight w:val="828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B7785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Освітні послуги (сучасний освітній простір), створення безпечних умов перебування у закладах загальної середньої освіти (протипожежний захист)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52507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A2CD2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11078656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665BA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6136521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99112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6750174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F4D28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23965351</w:t>
            </w:r>
          </w:p>
        </w:tc>
      </w:tr>
      <w:tr w:rsidR="009F4378" w:rsidRPr="00F72575" w14:paraId="6E8319B8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44A0A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941EB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29781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5500000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B2679" w14:textId="4FCFB6A2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 </w:t>
            </w:r>
            <w:r w:rsidR="007751A1" w:rsidRPr="00F7257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FFDE67" w14:textId="6E9E3360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 </w:t>
            </w:r>
            <w:r w:rsidR="007751A1" w:rsidRPr="00F7257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3E55E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5500000</w:t>
            </w:r>
          </w:p>
        </w:tc>
      </w:tr>
      <w:tr w:rsidR="009F4378" w:rsidRPr="00F72575" w14:paraId="3CD5B287" w14:textId="77777777" w:rsidTr="009F4378">
        <w:trPr>
          <w:gridAfter w:val="1"/>
          <w:wAfter w:w="222" w:type="dxa"/>
          <w:trHeight w:val="288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E8821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391D33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204BF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5578656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CD758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6136521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E4182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6750174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3D95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18465351</w:t>
            </w:r>
          </w:p>
        </w:tc>
      </w:tr>
      <w:tr w:rsidR="009F4378" w:rsidRPr="00F72575" w14:paraId="29CECE92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2EA94D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21DB05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(Державний бюджет)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C25F5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90B5C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59CB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9FF94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</w:tr>
      <w:tr w:rsidR="009F4378" w:rsidRPr="00F72575" w14:paraId="74C4C21A" w14:textId="77777777" w:rsidTr="009F4378">
        <w:trPr>
          <w:gridAfter w:val="1"/>
          <w:wAfter w:w="222" w:type="dxa"/>
          <w:trHeight w:val="792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78FFA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Освітні послуги (сучасний освітній простір), забезпечення доступу до якісного та безпечного харчування у закладах загальної середньої освіти шляхом розвитку сучасної інфраструктури </w:t>
            </w:r>
            <w:proofErr w:type="spellStart"/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їдалень</w:t>
            </w:r>
            <w:proofErr w:type="spellEnd"/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 (харчоблоків)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B5AF6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D7400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77D54F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18026024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3ED8BE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12100000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DCED5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40126024</w:t>
            </w:r>
          </w:p>
        </w:tc>
      </w:tr>
      <w:tr w:rsidR="009F4378" w:rsidRPr="00F72575" w14:paraId="116B70E4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761E5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3712C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97CCC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599D1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7026024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0ABC91" w14:textId="71B375EC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 </w:t>
            </w:r>
            <w:r w:rsidR="00960F7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F0F81F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7026024</w:t>
            </w:r>
          </w:p>
        </w:tc>
      </w:tr>
      <w:tr w:rsidR="009F4378" w:rsidRPr="00F72575" w14:paraId="1E09240E" w14:textId="77777777" w:rsidTr="009F4378">
        <w:trPr>
          <w:gridAfter w:val="1"/>
          <w:wAfter w:w="222" w:type="dxa"/>
          <w:trHeight w:val="288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69412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FB6E0C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9B7B2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10000000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912E3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11000000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6659C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12100000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4CEAA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33100000</w:t>
            </w:r>
          </w:p>
        </w:tc>
      </w:tr>
      <w:tr w:rsidR="009F4378" w:rsidRPr="00F72575" w14:paraId="3F7ED1A6" w14:textId="77777777" w:rsidTr="009F4378">
        <w:trPr>
          <w:gridAfter w:val="1"/>
          <w:wAfter w:w="222" w:type="dxa"/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8EDD3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88F18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(Державний бюджет)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66496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D924D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27C93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1DCC3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</w:tr>
      <w:tr w:rsidR="009F4378" w:rsidRPr="00F72575" w14:paraId="0C30F128" w14:textId="77777777" w:rsidTr="009F4378">
        <w:trPr>
          <w:gridAfter w:val="1"/>
          <w:wAfter w:w="222" w:type="dxa"/>
          <w:trHeight w:val="648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D989B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Освітні послуги (сучасний освітній простір), оновлення матеріально-технічної бази закладів загальної середньої освіти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46CAA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9A76D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B8C934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5923976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BAA1B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10900000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99BF5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16823976</w:t>
            </w:r>
          </w:p>
        </w:tc>
      </w:tr>
      <w:tr w:rsidR="009F4378" w:rsidRPr="00F72575" w14:paraId="2454BBAC" w14:textId="77777777" w:rsidTr="009F4378">
        <w:trPr>
          <w:gridAfter w:val="1"/>
          <w:wAfter w:w="222" w:type="dxa"/>
          <w:trHeight w:val="756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0356A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E11F4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38D71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5ECAF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5 923 976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5DE19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10900000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64DD6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16823976</w:t>
            </w:r>
          </w:p>
        </w:tc>
      </w:tr>
      <w:tr w:rsidR="009F4378" w:rsidRPr="00F72575" w14:paraId="74F72084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08069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B2E8F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60BCD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F87DF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C4C08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D967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2189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</w:tr>
      <w:tr w:rsidR="009F4378" w:rsidRPr="00F72575" w14:paraId="05DFF79F" w14:textId="77777777" w:rsidTr="009F4378">
        <w:trPr>
          <w:trHeight w:val="288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A74DD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62A598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Інші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7ACA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78D5C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6E4A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EB98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6000483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1E3F8B62" w14:textId="77777777" w:rsidTr="009F4378">
        <w:trPr>
          <w:trHeight w:val="288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B4FB9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9E588E" w14:textId="78D86BD4" w:rsidR="009F4378" w:rsidRPr="009F4378" w:rsidRDefault="001338F2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д</w:t>
            </w:r>
            <w:r w:rsidR="009F4378"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жерела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80C3C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A5308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02FB4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2BF0C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0F67DABF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477EE3D3" w14:textId="77777777" w:rsidTr="00EA1869">
        <w:trPr>
          <w:trHeight w:val="75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2F8B6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C03E1" w14:textId="6702C548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DBD90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6DE339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2FE7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8DF44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44FA0AD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7991B86E" w14:textId="77777777" w:rsidTr="009F4378">
        <w:trPr>
          <w:trHeight w:val="792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6E9F2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Забезпечення закладів загальної середньої освіти засобами навчання та обладнанням в межах впровадження реформи «Нова українська школа»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79D004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2E00E6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3522310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52A0F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3874541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B4543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4261995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CDD94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11658846</w:t>
            </w:r>
          </w:p>
        </w:tc>
        <w:tc>
          <w:tcPr>
            <w:tcW w:w="222" w:type="dxa"/>
            <w:vAlign w:val="center"/>
            <w:hideMark/>
          </w:tcPr>
          <w:p w14:paraId="67FD401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74C4BFEC" w14:textId="77777777" w:rsidTr="009F4378">
        <w:trPr>
          <w:trHeight w:val="756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5D45A0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44FA19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B44EF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052FA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0C059B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FDB68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33D1054A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4F01A6EF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3AAFC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34EE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6C716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088A9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783ED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CEE59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0783E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</w:tr>
      <w:tr w:rsidR="009F4378" w:rsidRPr="00F72575" w14:paraId="1C9CF8BC" w14:textId="77777777" w:rsidTr="009F4378">
        <w:trPr>
          <w:trHeight w:val="288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DF273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FACE2A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3F76D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3522310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7E61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3874541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2E3DD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4261995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C5127" w14:textId="77777777" w:rsidR="009F4378" w:rsidRPr="009F4378" w:rsidRDefault="009F4378" w:rsidP="007751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11658846</w:t>
            </w:r>
          </w:p>
        </w:tc>
        <w:tc>
          <w:tcPr>
            <w:tcW w:w="222" w:type="dxa"/>
            <w:vAlign w:val="center"/>
            <w:hideMark/>
          </w:tcPr>
          <w:p w14:paraId="1632240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3F61BB30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F161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06439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(Державний бюджет)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1CB0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7A4BD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7B987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56C32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1A54B99F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40760DC5" w14:textId="77777777" w:rsidTr="009F4378">
        <w:trPr>
          <w:trHeight w:val="300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35703A5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Культура та інформація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C33974C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2402DF4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32FC055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9F25CC9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1DE780A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8000000</w:t>
            </w:r>
          </w:p>
        </w:tc>
        <w:tc>
          <w:tcPr>
            <w:tcW w:w="222" w:type="dxa"/>
            <w:vAlign w:val="center"/>
            <w:hideMark/>
          </w:tcPr>
          <w:p w14:paraId="7EAFFC7C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0059F73E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B07A0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8603C6C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EFAD705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817C836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368A0F3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F3623D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8000000</w:t>
            </w:r>
          </w:p>
        </w:tc>
        <w:tc>
          <w:tcPr>
            <w:tcW w:w="222" w:type="dxa"/>
            <w:vAlign w:val="center"/>
            <w:hideMark/>
          </w:tcPr>
          <w:p w14:paraId="370CC7C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43E9DCF0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EAAF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EA27EDC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AE982B0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B4771E7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EE98E32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10107DB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5F97216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43BACF5E" w14:textId="77777777" w:rsidTr="009F4378">
        <w:trPr>
          <w:trHeight w:val="1476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DBF92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Збереження та розвиток культурної спадщини, формування сучасної музейної інфраструктури як інструменту зміцнення національної ідентичності, соціальної стійкості та економічного розвитку територіальних громад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B42D1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F32A7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4500000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70BA2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3500000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160CF5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BFB4E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8000000</w:t>
            </w:r>
          </w:p>
        </w:tc>
        <w:tc>
          <w:tcPr>
            <w:tcW w:w="222" w:type="dxa"/>
            <w:vAlign w:val="center"/>
            <w:hideMark/>
          </w:tcPr>
          <w:p w14:paraId="3FE4B32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5C5F68FC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212F3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DF141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D49EB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4500000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9873A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58127" w14:textId="0E050592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 </w:t>
            </w:r>
            <w:r w:rsidR="00960F7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8A123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8000000</w:t>
            </w:r>
          </w:p>
        </w:tc>
        <w:tc>
          <w:tcPr>
            <w:tcW w:w="222" w:type="dxa"/>
            <w:vAlign w:val="center"/>
            <w:hideMark/>
          </w:tcPr>
          <w:p w14:paraId="530AB21A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735BCFEC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B67B5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D674A2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451137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244D1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06FDF5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99FE9" w14:textId="77777777" w:rsidR="009F4378" w:rsidRPr="009F4378" w:rsidRDefault="009F4378" w:rsidP="00960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08886372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21D49A4A" w14:textId="77777777" w:rsidTr="009F4378">
        <w:trPr>
          <w:trHeight w:val="300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44483D4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Муніципальна інфраструктура та послуги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3820F7D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F992672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32107218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164BCF5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31815381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B1B8CD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38232320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D0B7A59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102154919</w:t>
            </w:r>
          </w:p>
        </w:tc>
        <w:tc>
          <w:tcPr>
            <w:tcW w:w="222" w:type="dxa"/>
            <w:vAlign w:val="center"/>
            <w:hideMark/>
          </w:tcPr>
          <w:p w14:paraId="5C61750F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7FAF573C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FDA8D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AE052F9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ADC0F1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73CEB0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3350000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7126D46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6920400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8F6F391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13420400</w:t>
            </w:r>
          </w:p>
        </w:tc>
        <w:tc>
          <w:tcPr>
            <w:tcW w:w="222" w:type="dxa"/>
            <w:vAlign w:val="center"/>
            <w:hideMark/>
          </w:tcPr>
          <w:p w14:paraId="44EAD30C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68C8A268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29DE0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35F3E44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7E490C5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28957218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69295C7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28465381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088E6A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31311920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F0696EC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88734519</w:t>
            </w:r>
          </w:p>
        </w:tc>
        <w:tc>
          <w:tcPr>
            <w:tcW w:w="222" w:type="dxa"/>
            <w:vAlign w:val="center"/>
            <w:hideMark/>
          </w:tcPr>
          <w:p w14:paraId="7AD8C34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001EF4C0" w14:textId="77777777" w:rsidTr="009F4378">
        <w:trPr>
          <w:trHeight w:val="996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B565B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Доступність якісних послуг централізованого водопостачання та водовідведення для різних груп громадян з урахуванням новітніх технологій та потреб територіальних громад.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CD472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F0F21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6229600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42640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3350000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C471B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6920400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0B932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16500000</w:t>
            </w:r>
          </w:p>
        </w:tc>
        <w:tc>
          <w:tcPr>
            <w:tcW w:w="222" w:type="dxa"/>
            <w:vAlign w:val="center"/>
            <w:hideMark/>
          </w:tcPr>
          <w:p w14:paraId="5F6D533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05377AE6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0216C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F0481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CC89AD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3150000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A9042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3350000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0D08B9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6920400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46564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13420400</w:t>
            </w:r>
          </w:p>
        </w:tc>
        <w:tc>
          <w:tcPr>
            <w:tcW w:w="222" w:type="dxa"/>
            <w:vAlign w:val="center"/>
            <w:hideMark/>
          </w:tcPr>
          <w:p w14:paraId="2D82926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2BFEABFC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2783C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B75DC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52727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3079600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9BDFC8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4C29D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ADB66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3079600</w:t>
            </w:r>
          </w:p>
        </w:tc>
        <w:tc>
          <w:tcPr>
            <w:tcW w:w="222" w:type="dxa"/>
            <w:vAlign w:val="center"/>
            <w:hideMark/>
          </w:tcPr>
          <w:p w14:paraId="288FB425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7D8789CB" w14:textId="77777777" w:rsidTr="009F4378">
        <w:trPr>
          <w:trHeight w:val="624"/>
        </w:trPr>
        <w:tc>
          <w:tcPr>
            <w:tcW w:w="26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8B365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Облаштування захисних споруд цивільного захисту (</w:t>
            </w:r>
            <w:proofErr w:type="spellStart"/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укриттів</w:t>
            </w:r>
            <w:proofErr w:type="spellEnd"/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) у закладах загальної середньої освіти (будівництво </w:t>
            </w:r>
            <w:proofErr w:type="spellStart"/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укритів</w:t>
            </w:r>
            <w:proofErr w:type="spellEnd"/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A7032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 xml:space="preserve">Всього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0EAB9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25877618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9A933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28465381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CFC3E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31311920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5B3F5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85654919</w:t>
            </w:r>
          </w:p>
        </w:tc>
        <w:tc>
          <w:tcPr>
            <w:tcW w:w="222" w:type="dxa"/>
            <w:vAlign w:val="center"/>
            <w:hideMark/>
          </w:tcPr>
          <w:p w14:paraId="1D05AB40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1DD93476" w14:textId="77777777" w:rsidTr="009F4378">
        <w:trPr>
          <w:trHeight w:val="756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E1EE4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EB44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Бюджет НМТГ (прогноз)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5572C1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05B44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9EAA3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B4C20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13F44A75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4302B2A1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E510F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87D26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5E655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22850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1724E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B1418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EBCED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</w:tr>
      <w:tr w:rsidR="009F4378" w:rsidRPr="00F72575" w14:paraId="4BB1F1E8" w14:textId="77777777" w:rsidTr="009F4378">
        <w:trPr>
          <w:trHeight w:val="288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B9EEE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5D057F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Інші джерела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8CEB2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25877618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E82A5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28465381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6B0B6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31311920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5F581" w14:textId="77777777" w:rsidR="009F4378" w:rsidRPr="009F4378" w:rsidRDefault="009F4378" w:rsidP="00382B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85654919</w:t>
            </w:r>
          </w:p>
        </w:tc>
        <w:tc>
          <w:tcPr>
            <w:tcW w:w="222" w:type="dxa"/>
            <w:vAlign w:val="center"/>
            <w:hideMark/>
          </w:tcPr>
          <w:p w14:paraId="11C84955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20EF6FD4" w14:textId="77777777" w:rsidTr="009F4378">
        <w:trPr>
          <w:trHeight w:val="300"/>
        </w:trPr>
        <w:tc>
          <w:tcPr>
            <w:tcW w:w="2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A3BAF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0595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(Державний бюджет)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0B50D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E8805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4E88D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A670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3DEF507C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30B3ABD3" w14:textId="77777777" w:rsidTr="009F4378">
        <w:trPr>
          <w:trHeight w:val="288"/>
        </w:trPr>
        <w:tc>
          <w:tcPr>
            <w:tcW w:w="26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CA1D622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РАЗОМ: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07A0A016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382A1547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61208184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17F21DB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69276443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54298F6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72244489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6F2FD5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202729116</w:t>
            </w:r>
          </w:p>
        </w:tc>
        <w:tc>
          <w:tcPr>
            <w:tcW w:w="222" w:type="dxa"/>
            <w:vAlign w:val="center"/>
            <w:hideMark/>
          </w:tcPr>
          <w:p w14:paraId="52EEDD7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4AB76CCF" w14:textId="77777777" w:rsidTr="009F4378">
        <w:trPr>
          <w:trHeight w:val="300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7D385F4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у тому числі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6ECB6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3BA63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2519D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1D239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A948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22" w:type="dxa"/>
            <w:vAlign w:val="center"/>
            <w:hideMark/>
          </w:tcPr>
          <w:p w14:paraId="66118F68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58E3BF2F" w14:textId="77777777" w:rsidTr="009F4378">
        <w:trPr>
          <w:trHeight w:val="300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9D62DD8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Бюджет НМТГ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8A99FD8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0E65FC5C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13150000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98F158F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19800000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013AFB60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17820400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ECA3F0E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50770400</w:t>
            </w:r>
          </w:p>
        </w:tc>
        <w:tc>
          <w:tcPr>
            <w:tcW w:w="222" w:type="dxa"/>
            <w:vAlign w:val="center"/>
            <w:hideMark/>
          </w:tcPr>
          <w:p w14:paraId="3FE1EA3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F4378" w:rsidRPr="00F72575" w14:paraId="638A4D4D" w14:textId="77777777" w:rsidTr="009F4378">
        <w:trPr>
          <w:trHeight w:val="300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342A618A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/>
              </w:rPr>
              <w:t>Інші джерела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8ECC173" w14:textId="77777777" w:rsidR="009F4378" w:rsidRPr="009F4378" w:rsidRDefault="009F4378" w:rsidP="009F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0DC63C36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48058184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09009885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49476443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76E7E2EE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54424089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38F9C2A4" w14:textId="77777777" w:rsidR="009F4378" w:rsidRPr="009F4378" w:rsidRDefault="009F4378" w:rsidP="009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9F43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151958716</w:t>
            </w:r>
          </w:p>
        </w:tc>
        <w:tc>
          <w:tcPr>
            <w:tcW w:w="222" w:type="dxa"/>
            <w:vAlign w:val="center"/>
            <w:hideMark/>
          </w:tcPr>
          <w:p w14:paraId="60ACE2EB" w14:textId="77777777" w:rsidR="009F4378" w:rsidRPr="009F4378" w:rsidRDefault="009F4378" w:rsidP="009F43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14:paraId="17A5BF59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4475AC55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33F57012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49CC5680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30D6E6E1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7BBDE93B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655B7CBC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3545E2FB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0127B9FE" w14:textId="77777777" w:rsidR="009F4378" w:rsidRDefault="009F4378" w:rsidP="005B4DE9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eastAsia="uk-UA"/>
        </w:rPr>
      </w:pPr>
    </w:p>
    <w:p w14:paraId="213873EA" w14:textId="2C13BDE5" w:rsidR="00B21BD9" w:rsidRPr="00F920F0" w:rsidRDefault="003148E1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  <w:r w:rsidRPr="00F920F0"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  <w:t>Підсумки та перспективи</w:t>
      </w:r>
    </w:p>
    <w:p w14:paraId="0DC3972D" w14:textId="77777777" w:rsidR="003148E1" w:rsidRPr="00F920F0" w:rsidRDefault="003148E1" w:rsidP="003148E1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0000"/>
          <w:sz w:val="28"/>
          <w:szCs w:val="28"/>
          <w:lang w:eastAsia="uk-UA"/>
        </w:rPr>
      </w:pPr>
    </w:p>
    <w:p w14:paraId="238B518C" w14:textId="1496BA6D" w:rsidR="003148E1" w:rsidRPr="00F920F0" w:rsidRDefault="003148E1" w:rsidP="003148E1">
      <w:pPr>
        <w:pStyle w:val="a3"/>
        <w:spacing w:before="1"/>
        <w:ind w:right="162" w:firstLine="707"/>
        <w:jc w:val="both"/>
      </w:pPr>
      <w:r w:rsidRPr="00F920F0">
        <w:t xml:space="preserve">Середньостроковий план є документом місцевого рівня, що формує основу для якісно нового підходу до управління публічними інвестиціями в </w:t>
      </w:r>
      <w:r w:rsidR="00F920F0">
        <w:t>Ніжинсь</w:t>
      </w:r>
      <w:r w:rsidRPr="00F920F0">
        <w:rPr>
          <w:spacing w:val="-2"/>
        </w:rPr>
        <w:t>кій міській територіальній громаді.</w:t>
      </w:r>
    </w:p>
    <w:p w14:paraId="32C4242E" w14:textId="0815E565" w:rsidR="003148E1" w:rsidRPr="00F920F0" w:rsidRDefault="003148E1" w:rsidP="003148E1">
      <w:pPr>
        <w:pStyle w:val="a3"/>
        <w:ind w:right="152" w:firstLine="707"/>
        <w:jc w:val="both"/>
      </w:pPr>
      <w:r w:rsidRPr="00F920F0">
        <w:t xml:space="preserve">Визначення наскрізних стратегічних цілей, узгодження з наявними стратегічними документами, продовження та завершення розпочатих </w:t>
      </w:r>
      <w:proofErr w:type="spellStart"/>
      <w:r w:rsidRPr="00F920F0">
        <w:t>проєктів</w:t>
      </w:r>
      <w:proofErr w:type="spellEnd"/>
      <w:r w:rsidRPr="00F920F0">
        <w:t xml:space="preserve"> і програм, а також закріплення пріоритетних галузей (секторів) і основних напрямів публічного інвестування забезпечують спрямування бюджетних ресурсів на реалізацію ключових пріоритетів розвитку </w:t>
      </w:r>
      <w:r w:rsidR="00F920F0" w:rsidRPr="00F920F0">
        <w:t>Ніжин</w:t>
      </w:r>
      <w:r w:rsidRPr="00F920F0">
        <w:t>ської міської територіальної громади. Це сприятиме ефективному використанню</w:t>
      </w:r>
      <w:r w:rsidRPr="00F920F0">
        <w:rPr>
          <w:spacing w:val="-2"/>
        </w:rPr>
        <w:t xml:space="preserve"> </w:t>
      </w:r>
      <w:r w:rsidRPr="00F920F0">
        <w:t>як попередньо вкладених, так і поточних публічних інвестицій,</w:t>
      </w:r>
      <w:r w:rsidRPr="00F920F0">
        <w:rPr>
          <w:spacing w:val="-1"/>
        </w:rPr>
        <w:t xml:space="preserve"> </w:t>
      </w:r>
      <w:r w:rsidRPr="00F920F0">
        <w:t>а також створить чітке розуміння пріоритетних сфер, що потребують фінансової підтримки у середньостроковому періоді.</w:t>
      </w:r>
    </w:p>
    <w:p w14:paraId="29ACB4A8" w14:textId="5AC28953" w:rsidR="003148E1" w:rsidRPr="0013735F" w:rsidRDefault="003148E1" w:rsidP="003148E1">
      <w:pPr>
        <w:pStyle w:val="a3"/>
        <w:ind w:right="156" w:firstLine="707"/>
        <w:jc w:val="both"/>
      </w:pPr>
      <w:r w:rsidRPr="0013735F">
        <w:t xml:space="preserve">Визначення напрямів публічного інвестування відповідних галузей (секторів) для публічного інвестування має ключове значення для подальшої підготовки, оцінки </w:t>
      </w:r>
      <w:proofErr w:type="spellStart"/>
      <w:r w:rsidRPr="0013735F">
        <w:t>про</w:t>
      </w:r>
      <w:r w:rsidR="002C28E1" w:rsidRPr="0013735F">
        <w:t>є</w:t>
      </w:r>
      <w:r w:rsidRPr="0013735F">
        <w:t>ктів</w:t>
      </w:r>
      <w:proofErr w:type="spellEnd"/>
      <w:r w:rsidRPr="0013735F">
        <w:t xml:space="preserve"> та програм, а також формування </w:t>
      </w:r>
      <w:r w:rsidR="00732677" w:rsidRPr="0013735F">
        <w:t xml:space="preserve">галузевих (секторальних) </w:t>
      </w:r>
      <w:proofErr w:type="spellStart"/>
      <w:r w:rsidR="00732677" w:rsidRPr="0013735F">
        <w:t>про</w:t>
      </w:r>
      <w:r w:rsidR="002C28E1" w:rsidRPr="0013735F">
        <w:t>є</w:t>
      </w:r>
      <w:r w:rsidR="00732677" w:rsidRPr="0013735F">
        <w:t>ктних</w:t>
      </w:r>
      <w:proofErr w:type="spellEnd"/>
      <w:r w:rsidR="00732677" w:rsidRPr="0013735F">
        <w:t xml:space="preserve"> портфелів та </w:t>
      </w:r>
      <w:r w:rsidRPr="0013735F">
        <w:t xml:space="preserve">єдиного </w:t>
      </w:r>
      <w:proofErr w:type="spellStart"/>
      <w:r w:rsidRPr="0013735F">
        <w:t>про</w:t>
      </w:r>
      <w:r w:rsidR="002C28E1" w:rsidRPr="0013735F">
        <w:t>є</w:t>
      </w:r>
      <w:r w:rsidRPr="0013735F">
        <w:t>ктного</w:t>
      </w:r>
      <w:proofErr w:type="spellEnd"/>
      <w:r w:rsidRPr="0013735F">
        <w:t xml:space="preserve"> портфеля публічних інвестицій </w:t>
      </w:r>
      <w:r w:rsidR="0013735F" w:rsidRPr="0013735F">
        <w:t>Ніжин</w:t>
      </w:r>
      <w:r w:rsidRPr="0013735F">
        <w:t>сь</w:t>
      </w:r>
      <w:r w:rsidR="00732677" w:rsidRPr="0013735F">
        <w:t>кої</w:t>
      </w:r>
      <w:r w:rsidRPr="0013735F">
        <w:t xml:space="preserve"> міської територіальної громади.</w:t>
      </w:r>
    </w:p>
    <w:p w14:paraId="619B507E" w14:textId="77777777" w:rsidR="003148E1" w:rsidRPr="000F1C47" w:rsidRDefault="003148E1" w:rsidP="000F656A">
      <w:pPr>
        <w:pStyle w:val="a3"/>
        <w:ind w:right="158" w:firstLine="707"/>
        <w:jc w:val="both"/>
      </w:pPr>
      <w:r w:rsidRPr="000F1C47">
        <w:t xml:space="preserve">Підготовка </w:t>
      </w:r>
      <w:proofErr w:type="spellStart"/>
      <w:r w:rsidRPr="000F1C47">
        <w:t>про</w:t>
      </w:r>
      <w:r w:rsidR="002C28E1" w:rsidRPr="000F1C47">
        <w:t>є</w:t>
      </w:r>
      <w:r w:rsidRPr="000F1C47">
        <w:t>ктів</w:t>
      </w:r>
      <w:proofErr w:type="spellEnd"/>
      <w:r w:rsidRPr="000F1C47">
        <w:t xml:space="preserve"> та програм передбачає обов’язкове визначення напряму</w:t>
      </w:r>
      <w:r w:rsidR="00AC45C9" w:rsidRPr="000F1C47">
        <w:rPr>
          <w:spacing w:val="30"/>
        </w:rPr>
        <w:t xml:space="preserve"> </w:t>
      </w:r>
      <w:r w:rsidRPr="000F1C47">
        <w:t>публічного</w:t>
      </w:r>
      <w:r w:rsidR="00AC45C9" w:rsidRPr="000F1C47">
        <w:rPr>
          <w:spacing w:val="33"/>
        </w:rPr>
        <w:t xml:space="preserve"> </w:t>
      </w:r>
      <w:r w:rsidRPr="000F1C47">
        <w:t>інвестування</w:t>
      </w:r>
      <w:r w:rsidR="00AC45C9" w:rsidRPr="000F1C47">
        <w:rPr>
          <w:spacing w:val="33"/>
        </w:rPr>
        <w:t xml:space="preserve"> </w:t>
      </w:r>
      <w:r w:rsidRPr="000F1C47">
        <w:t>у</w:t>
      </w:r>
      <w:r w:rsidR="00AC45C9" w:rsidRPr="000F1C47">
        <w:rPr>
          <w:spacing w:val="32"/>
        </w:rPr>
        <w:t xml:space="preserve"> </w:t>
      </w:r>
      <w:r w:rsidRPr="000F1C47">
        <w:t>відповідній</w:t>
      </w:r>
      <w:r w:rsidRPr="000F1C47">
        <w:rPr>
          <w:spacing w:val="32"/>
        </w:rPr>
        <w:t xml:space="preserve"> </w:t>
      </w:r>
      <w:r w:rsidRPr="000F1C47">
        <w:t>галузі</w:t>
      </w:r>
      <w:r w:rsidR="00AC45C9" w:rsidRPr="000F1C47">
        <w:rPr>
          <w:spacing w:val="33"/>
        </w:rPr>
        <w:t xml:space="preserve"> </w:t>
      </w:r>
      <w:r w:rsidRPr="000F1C47">
        <w:t>(секторі),</w:t>
      </w:r>
      <w:r w:rsidR="00AC45C9" w:rsidRPr="000F1C47">
        <w:rPr>
          <w:spacing w:val="33"/>
        </w:rPr>
        <w:t xml:space="preserve"> </w:t>
      </w:r>
      <w:r w:rsidRPr="000F1C47">
        <w:t>з</w:t>
      </w:r>
      <w:r w:rsidR="00AC45C9" w:rsidRPr="000F1C47">
        <w:rPr>
          <w:spacing w:val="32"/>
        </w:rPr>
        <w:t xml:space="preserve"> </w:t>
      </w:r>
      <w:r w:rsidRPr="000F1C47">
        <w:rPr>
          <w:spacing w:val="-4"/>
        </w:rPr>
        <w:t>яким</w:t>
      </w:r>
      <w:r w:rsidR="000F656A" w:rsidRPr="000F1C47">
        <w:rPr>
          <w:spacing w:val="-4"/>
        </w:rPr>
        <w:t xml:space="preserve"> </w:t>
      </w:r>
      <w:r w:rsidRPr="000F1C47">
        <w:t xml:space="preserve">пов’язаний </w:t>
      </w:r>
      <w:proofErr w:type="spellStart"/>
      <w:r w:rsidRPr="000F1C47">
        <w:t>проєкт</w:t>
      </w:r>
      <w:proofErr w:type="spellEnd"/>
      <w:r w:rsidRPr="000F1C47">
        <w:t xml:space="preserve"> чи програма, а також узгодження мети та цілей </w:t>
      </w:r>
      <w:proofErr w:type="spellStart"/>
      <w:r w:rsidRPr="000F1C47">
        <w:t>про</w:t>
      </w:r>
      <w:r w:rsidR="002C28E1" w:rsidRPr="000F1C47">
        <w:t>є</w:t>
      </w:r>
      <w:r w:rsidRPr="000F1C47">
        <w:t>кту</w:t>
      </w:r>
      <w:proofErr w:type="spellEnd"/>
      <w:r w:rsidRPr="000F1C47">
        <w:t xml:space="preserve"> з таким напрямом.</w:t>
      </w:r>
    </w:p>
    <w:p w14:paraId="1E6BEC35" w14:textId="77777777" w:rsidR="003148E1" w:rsidRPr="000F1C47" w:rsidRDefault="003148E1" w:rsidP="003148E1">
      <w:pPr>
        <w:pStyle w:val="a3"/>
        <w:ind w:right="150" w:firstLine="707"/>
        <w:jc w:val="both"/>
      </w:pPr>
      <w:r w:rsidRPr="000F1C47">
        <w:t xml:space="preserve">Оцінка </w:t>
      </w:r>
      <w:proofErr w:type="spellStart"/>
      <w:r w:rsidRPr="000F1C47">
        <w:t>проєктів</w:t>
      </w:r>
      <w:proofErr w:type="spellEnd"/>
      <w:r w:rsidRPr="000F1C47">
        <w:t xml:space="preserve"> та програм включає оцінку відповідності (скринінг), галузеву (секторальну) експертну оцінку та експертну оцінку, що передбачає аналіз ряду показників, пов’язаних із напрямами публічного інвестування відповідних галузей (секторів).</w:t>
      </w:r>
    </w:p>
    <w:p w14:paraId="2D517F74" w14:textId="77777777" w:rsidR="003148E1" w:rsidRPr="00F55F88" w:rsidRDefault="003148E1" w:rsidP="003148E1">
      <w:pPr>
        <w:pStyle w:val="a3"/>
        <w:ind w:right="153" w:firstLine="707"/>
        <w:jc w:val="both"/>
      </w:pPr>
      <w:r w:rsidRPr="00F55F88">
        <w:t>Без визначення напрямів для публічного інвестування неможлив</w:t>
      </w:r>
      <w:r w:rsidR="00D6167C" w:rsidRPr="00F55F88">
        <w:t xml:space="preserve">е формування галузевого (секторального) </w:t>
      </w:r>
      <w:proofErr w:type="spellStart"/>
      <w:r w:rsidR="00D6167C" w:rsidRPr="00F55F88">
        <w:t>про</w:t>
      </w:r>
      <w:r w:rsidR="002C28E1" w:rsidRPr="00F55F88">
        <w:t>є</w:t>
      </w:r>
      <w:r w:rsidR="00D6167C" w:rsidRPr="00F55F88">
        <w:t>ктного</w:t>
      </w:r>
      <w:proofErr w:type="spellEnd"/>
      <w:r w:rsidR="00D6167C" w:rsidRPr="00F55F88">
        <w:t xml:space="preserve"> портфеля територіальної громади, оскільки після завершення ініціатором </w:t>
      </w:r>
      <w:proofErr w:type="spellStart"/>
      <w:r w:rsidR="00D6167C" w:rsidRPr="00F55F88">
        <w:t>про</w:t>
      </w:r>
      <w:r w:rsidR="002C28E1" w:rsidRPr="00F55F88">
        <w:t>є</w:t>
      </w:r>
      <w:r w:rsidR="00D6167C" w:rsidRPr="00F55F88">
        <w:t>кту</w:t>
      </w:r>
      <w:proofErr w:type="spellEnd"/>
      <w:r w:rsidR="00D6167C" w:rsidRPr="00F55F88">
        <w:t xml:space="preserve"> попереднього техніко</w:t>
      </w:r>
      <w:r w:rsidR="00EB630B" w:rsidRPr="00F55F88">
        <w:t>-</w:t>
      </w:r>
      <w:r w:rsidR="00D6167C" w:rsidRPr="00F55F88">
        <w:t xml:space="preserve">економічного обґрунтування або етапу підготовки </w:t>
      </w:r>
      <w:proofErr w:type="spellStart"/>
      <w:r w:rsidR="00D6167C" w:rsidRPr="00F55F88">
        <w:t>про</w:t>
      </w:r>
      <w:r w:rsidR="002C28E1" w:rsidRPr="00F55F88">
        <w:t>є</w:t>
      </w:r>
      <w:r w:rsidR="00D6167C" w:rsidRPr="00F55F88">
        <w:t>кт</w:t>
      </w:r>
      <w:proofErr w:type="spellEnd"/>
      <w:r w:rsidR="00D6167C" w:rsidRPr="00F55F88">
        <w:t xml:space="preserve"> або програма програмними засобами Єдиної інформаційної системи автоматично надсилається на скринінг (оцінку відповідності) до місцевого галузевого (секторального) підрозділу за ознакою обраного у </w:t>
      </w:r>
      <w:proofErr w:type="spellStart"/>
      <w:r w:rsidR="00D6167C" w:rsidRPr="00F55F88">
        <w:t>про</w:t>
      </w:r>
      <w:r w:rsidR="002C28E1" w:rsidRPr="00F55F88">
        <w:t>є</w:t>
      </w:r>
      <w:r w:rsidR="00D6167C" w:rsidRPr="00F55F88">
        <w:t>кті</w:t>
      </w:r>
      <w:proofErr w:type="spellEnd"/>
      <w:r w:rsidR="00D6167C" w:rsidRPr="00F55F88">
        <w:t xml:space="preserve"> або програмі напряму публічного інвестування</w:t>
      </w:r>
      <w:r w:rsidRPr="00F55F88">
        <w:rPr>
          <w:spacing w:val="-2"/>
        </w:rPr>
        <w:t>.</w:t>
      </w:r>
    </w:p>
    <w:p w14:paraId="2A934295" w14:textId="1A211BA5" w:rsidR="003148E1" w:rsidRDefault="000F656A" w:rsidP="003148E1">
      <w:pPr>
        <w:pStyle w:val="a3"/>
        <w:ind w:right="158" w:firstLine="707"/>
        <w:jc w:val="both"/>
      </w:pPr>
      <w:r w:rsidRPr="00F55F88">
        <w:t>У</w:t>
      </w:r>
      <w:r w:rsidR="003148E1" w:rsidRPr="00F55F88">
        <w:t xml:space="preserve"> подальшому ті </w:t>
      </w:r>
      <w:proofErr w:type="spellStart"/>
      <w:r w:rsidR="003148E1" w:rsidRPr="00F55F88">
        <w:t>про</w:t>
      </w:r>
      <w:r w:rsidR="002C28E1" w:rsidRPr="00F55F88">
        <w:t>є</w:t>
      </w:r>
      <w:r w:rsidR="003148E1" w:rsidRPr="00F55F88">
        <w:t>кти</w:t>
      </w:r>
      <w:proofErr w:type="spellEnd"/>
      <w:r w:rsidR="003148E1" w:rsidRPr="00F55F88">
        <w:t xml:space="preserve"> та програми, що включені до галузев</w:t>
      </w:r>
      <w:r w:rsidR="00E073BC" w:rsidRPr="00F55F88">
        <w:t>их</w:t>
      </w:r>
      <w:r w:rsidR="003148E1" w:rsidRPr="00F55F88">
        <w:t xml:space="preserve"> (секторальн</w:t>
      </w:r>
      <w:r w:rsidR="00E073BC" w:rsidRPr="00F55F88">
        <w:t>их</w:t>
      </w:r>
      <w:r w:rsidR="003148E1" w:rsidRPr="00F55F88">
        <w:t xml:space="preserve">) </w:t>
      </w:r>
      <w:proofErr w:type="spellStart"/>
      <w:r w:rsidR="003148E1" w:rsidRPr="00F55F88">
        <w:t>про</w:t>
      </w:r>
      <w:r w:rsidR="002C28E1" w:rsidRPr="00F55F88">
        <w:t>є</w:t>
      </w:r>
      <w:r w:rsidR="003148E1" w:rsidRPr="00F55F88">
        <w:t>ктн</w:t>
      </w:r>
      <w:r w:rsidR="00E073BC" w:rsidRPr="00F55F88">
        <w:t>их</w:t>
      </w:r>
      <w:proofErr w:type="spellEnd"/>
      <w:r w:rsidR="003148E1" w:rsidRPr="00F55F88">
        <w:t xml:space="preserve"> портфел</w:t>
      </w:r>
      <w:r w:rsidR="00E073BC" w:rsidRPr="00F55F88">
        <w:t>ів</w:t>
      </w:r>
      <w:r w:rsidR="003148E1" w:rsidRPr="00F55F88">
        <w:t xml:space="preserve"> та відповідають основним напрямам публічного інвестування, визначеним в Додатку 1 до Середньострокового</w:t>
      </w:r>
      <w:r w:rsidR="003148E1" w:rsidRPr="00F55F88">
        <w:rPr>
          <w:spacing w:val="40"/>
        </w:rPr>
        <w:t xml:space="preserve"> </w:t>
      </w:r>
      <w:r w:rsidR="003148E1" w:rsidRPr="00F55F88">
        <w:t xml:space="preserve">плану, можуть бути включені в Єдиний </w:t>
      </w:r>
      <w:proofErr w:type="spellStart"/>
      <w:r w:rsidR="003148E1" w:rsidRPr="00F55F88">
        <w:t>про</w:t>
      </w:r>
      <w:r w:rsidR="002C28E1" w:rsidRPr="00F55F88">
        <w:t>є</w:t>
      </w:r>
      <w:r w:rsidR="003148E1" w:rsidRPr="00F55F88">
        <w:t>ктний</w:t>
      </w:r>
      <w:proofErr w:type="spellEnd"/>
      <w:r w:rsidR="003148E1" w:rsidRPr="00F55F88">
        <w:t xml:space="preserve"> портфель публічних інвестицій </w:t>
      </w:r>
      <w:r w:rsidR="00F55F88">
        <w:t>Ніжинс</w:t>
      </w:r>
      <w:r w:rsidR="00F135E2" w:rsidRPr="00F55F88">
        <w:t>ької міської територіальної</w:t>
      </w:r>
      <w:r w:rsidR="003148E1" w:rsidRPr="00F55F88">
        <w:t xml:space="preserve"> громади та, відповідно, зможуть отримати фінансування за рахунок коштів бюджету </w:t>
      </w:r>
      <w:r w:rsidR="00F55F88">
        <w:t>Ніжинс</w:t>
      </w:r>
      <w:r w:rsidR="00F135E2" w:rsidRPr="00F55F88">
        <w:t>ької міської територіальної громади</w:t>
      </w:r>
      <w:r w:rsidR="003148E1" w:rsidRPr="00F55F88">
        <w:t xml:space="preserve"> та/або з наданням державної підтримки</w:t>
      </w:r>
      <w:r w:rsidRPr="00F55F88">
        <w:t>, коштів міжнародних організацій та з інших джерел, не заборонених законодавством</w:t>
      </w:r>
      <w:r w:rsidR="003148E1" w:rsidRPr="00F55F88">
        <w:t>.</w:t>
      </w:r>
    </w:p>
    <w:sectPr w:rsidR="003148E1" w:rsidSect="00974CAF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E77D5" w14:textId="77777777" w:rsidR="00CB4A17" w:rsidRDefault="00CB4A17" w:rsidP="00974CAF">
      <w:pPr>
        <w:spacing w:after="0" w:line="240" w:lineRule="auto"/>
      </w:pPr>
      <w:r>
        <w:separator/>
      </w:r>
    </w:p>
  </w:endnote>
  <w:endnote w:type="continuationSeparator" w:id="0">
    <w:p w14:paraId="15D34261" w14:textId="77777777" w:rsidR="00CB4A17" w:rsidRDefault="00CB4A17" w:rsidP="00974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D7A92" w14:textId="77777777" w:rsidR="00CB4A17" w:rsidRDefault="00CB4A17" w:rsidP="00974CAF">
      <w:pPr>
        <w:spacing w:after="0" w:line="240" w:lineRule="auto"/>
      </w:pPr>
      <w:r>
        <w:separator/>
      </w:r>
    </w:p>
  </w:footnote>
  <w:footnote w:type="continuationSeparator" w:id="0">
    <w:p w14:paraId="6F761609" w14:textId="77777777" w:rsidR="00CB4A17" w:rsidRDefault="00CB4A17" w:rsidP="00974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275364"/>
      <w:docPartObj>
        <w:docPartGallery w:val="Page Numbers (Top of Page)"/>
        <w:docPartUnique/>
      </w:docPartObj>
    </w:sdtPr>
    <w:sdtContent>
      <w:p w14:paraId="2CC53B99" w14:textId="77777777" w:rsidR="00E33958" w:rsidRDefault="00E339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907" w:rsidRPr="009C2907">
          <w:rPr>
            <w:noProof/>
            <w:lang w:val="ru-RU"/>
          </w:rPr>
          <w:t>9</w:t>
        </w:r>
        <w:r>
          <w:fldChar w:fldCharType="end"/>
        </w:r>
      </w:p>
    </w:sdtContent>
  </w:sdt>
  <w:p w14:paraId="258C35F9" w14:textId="77777777" w:rsidR="00E33958" w:rsidRDefault="00E3395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71030"/>
    <w:multiLevelType w:val="hybridMultilevel"/>
    <w:tmpl w:val="54026160"/>
    <w:lvl w:ilvl="0" w:tplc="366AFC3C">
      <w:numFmt w:val="bullet"/>
      <w:lvlText w:val="-"/>
      <w:lvlJc w:val="left"/>
      <w:pPr>
        <w:ind w:left="70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uk-UA" w:eastAsia="en-US" w:bidi="ar-SA"/>
      </w:rPr>
    </w:lvl>
    <w:lvl w:ilvl="1" w:tplc="45067DAA">
      <w:numFmt w:val="bullet"/>
      <w:lvlText w:val="•"/>
      <w:lvlJc w:val="left"/>
      <w:pPr>
        <w:ind w:left="1679" w:hanging="305"/>
      </w:pPr>
      <w:rPr>
        <w:rFonts w:hint="default"/>
        <w:lang w:val="uk-UA" w:eastAsia="en-US" w:bidi="ar-SA"/>
      </w:rPr>
    </w:lvl>
    <w:lvl w:ilvl="2" w:tplc="6344B7CE">
      <w:numFmt w:val="bullet"/>
      <w:lvlText w:val="•"/>
      <w:lvlJc w:val="left"/>
      <w:pPr>
        <w:ind w:left="2659" w:hanging="305"/>
      </w:pPr>
      <w:rPr>
        <w:rFonts w:hint="default"/>
        <w:lang w:val="uk-UA" w:eastAsia="en-US" w:bidi="ar-SA"/>
      </w:rPr>
    </w:lvl>
    <w:lvl w:ilvl="3" w:tplc="CFE65080">
      <w:numFmt w:val="bullet"/>
      <w:lvlText w:val="•"/>
      <w:lvlJc w:val="left"/>
      <w:pPr>
        <w:ind w:left="3638" w:hanging="305"/>
      </w:pPr>
      <w:rPr>
        <w:rFonts w:hint="default"/>
        <w:lang w:val="uk-UA" w:eastAsia="en-US" w:bidi="ar-SA"/>
      </w:rPr>
    </w:lvl>
    <w:lvl w:ilvl="4" w:tplc="ADFE905C">
      <w:numFmt w:val="bullet"/>
      <w:lvlText w:val="•"/>
      <w:lvlJc w:val="left"/>
      <w:pPr>
        <w:ind w:left="4618" w:hanging="305"/>
      </w:pPr>
      <w:rPr>
        <w:rFonts w:hint="default"/>
        <w:lang w:val="uk-UA" w:eastAsia="en-US" w:bidi="ar-SA"/>
      </w:rPr>
    </w:lvl>
    <w:lvl w:ilvl="5" w:tplc="9EE4FF2A">
      <w:numFmt w:val="bullet"/>
      <w:lvlText w:val="•"/>
      <w:lvlJc w:val="left"/>
      <w:pPr>
        <w:ind w:left="5597" w:hanging="305"/>
      </w:pPr>
      <w:rPr>
        <w:rFonts w:hint="default"/>
        <w:lang w:val="uk-UA" w:eastAsia="en-US" w:bidi="ar-SA"/>
      </w:rPr>
    </w:lvl>
    <w:lvl w:ilvl="6" w:tplc="B13CB8DC">
      <w:numFmt w:val="bullet"/>
      <w:lvlText w:val="•"/>
      <w:lvlJc w:val="left"/>
      <w:pPr>
        <w:ind w:left="6577" w:hanging="305"/>
      </w:pPr>
      <w:rPr>
        <w:rFonts w:hint="default"/>
        <w:lang w:val="uk-UA" w:eastAsia="en-US" w:bidi="ar-SA"/>
      </w:rPr>
    </w:lvl>
    <w:lvl w:ilvl="7" w:tplc="45DA0EE0">
      <w:numFmt w:val="bullet"/>
      <w:lvlText w:val="•"/>
      <w:lvlJc w:val="left"/>
      <w:pPr>
        <w:ind w:left="7556" w:hanging="305"/>
      </w:pPr>
      <w:rPr>
        <w:rFonts w:hint="default"/>
        <w:lang w:val="uk-UA" w:eastAsia="en-US" w:bidi="ar-SA"/>
      </w:rPr>
    </w:lvl>
    <w:lvl w:ilvl="8" w:tplc="1430F3BC">
      <w:numFmt w:val="bullet"/>
      <w:lvlText w:val="•"/>
      <w:lvlJc w:val="left"/>
      <w:pPr>
        <w:ind w:left="8536" w:hanging="305"/>
      </w:pPr>
      <w:rPr>
        <w:rFonts w:hint="default"/>
        <w:lang w:val="uk-UA" w:eastAsia="en-US" w:bidi="ar-SA"/>
      </w:rPr>
    </w:lvl>
  </w:abstractNum>
  <w:num w:numId="1" w16cid:durableId="151345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D2"/>
    <w:rsid w:val="0001025E"/>
    <w:rsid w:val="000153AE"/>
    <w:rsid w:val="00015601"/>
    <w:rsid w:val="000327B5"/>
    <w:rsid w:val="00037743"/>
    <w:rsid w:val="00052BA1"/>
    <w:rsid w:val="0007237F"/>
    <w:rsid w:val="00083B7D"/>
    <w:rsid w:val="000A216D"/>
    <w:rsid w:val="000A378F"/>
    <w:rsid w:val="000B43FE"/>
    <w:rsid w:val="000B7A33"/>
    <w:rsid w:val="000C036D"/>
    <w:rsid w:val="000C0476"/>
    <w:rsid w:val="000C237F"/>
    <w:rsid w:val="000C48E5"/>
    <w:rsid w:val="000E70AF"/>
    <w:rsid w:val="000F1C47"/>
    <w:rsid w:val="000F4A84"/>
    <w:rsid w:val="000F656A"/>
    <w:rsid w:val="001338F2"/>
    <w:rsid w:val="00136A5A"/>
    <w:rsid w:val="0013735F"/>
    <w:rsid w:val="00140D3B"/>
    <w:rsid w:val="00162063"/>
    <w:rsid w:val="00186FD0"/>
    <w:rsid w:val="001A02E7"/>
    <w:rsid w:val="001B3F0B"/>
    <w:rsid w:val="001F0D62"/>
    <w:rsid w:val="00210A67"/>
    <w:rsid w:val="00225D97"/>
    <w:rsid w:val="00227A64"/>
    <w:rsid w:val="00231F91"/>
    <w:rsid w:val="00233759"/>
    <w:rsid w:val="00247289"/>
    <w:rsid w:val="0024728A"/>
    <w:rsid w:val="00266E47"/>
    <w:rsid w:val="00272409"/>
    <w:rsid w:val="00273F09"/>
    <w:rsid w:val="00285612"/>
    <w:rsid w:val="002B156E"/>
    <w:rsid w:val="002C0774"/>
    <w:rsid w:val="002C11EB"/>
    <w:rsid w:val="002C28E1"/>
    <w:rsid w:val="002D3E69"/>
    <w:rsid w:val="002D68B3"/>
    <w:rsid w:val="002E1A51"/>
    <w:rsid w:val="002E37A5"/>
    <w:rsid w:val="002E62AD"/>
    <w:rsid w:val="0030272D"/>
    <w:rsid w:val="0030533A"/>
    <w:rsid w:val="00305FE7"/>
    <w:rsid w:val="003074CE"/>
    <w:rsid w:val="003148E1"/>
    <w:rsid w:val="00315A64"/>
    <w:rsid w:val="00316F0B"/>
    <w:rsid w:val="00323683"/>
    <w:rsid w:val="003274A4"/>
    <w:rsid w:val="00327F1A"/>
    <w:rsid w:val="00334455"/>
    <w:rsid w:val="003446E0"/>
    <w:rsid w:val="00356A00"/>
    <w:rsid w:val="003720CF"/>
    <w:rsid w:val="00377AF2"/>
    <w:rsid w:val="003813E2"/>
    <w:rsid w:val="003814E2"/>
    <w:rsid w:val="00382B26"/>
    <w:rsid w:val="003947AE"/>
    <w:rsid w:val="003C0BA8"/>
    <w:rsid w:val="003C10C3"/>
    <w:rsid w:val="003E34B3"/>
    <w:rsid w:val="003E40D2"/>
    <w:rsid w:val="003F1DA5"/>
    <w:rsid w:val="00401590"/>
    <w:rsid w:val="00402E81"/>
    <w:rsid w:val="00415DFC"/>
    <w:rsid w:val="00431DD3"/>
    <w:rsid w:val="004376FB"/>
    <w:rsid w:val="00453FA7"/>
    <w:rsid w:val="0045778E"/>
    <w:rsid w:val="00467444"/>
    <w:rsid w:val="004728D3"/>
    <w:rsid w:val="00484EC2"/>
    <w:rsid w:val="004B6CA8"/>
    <w:rsid w:val="004D0A1F"/>
    <w:rsid w:val="004D23B9"/>
    <w:rsid w:val="004D4D36"/>
    <w:rsid w:val="004D6DB8"/>
    <w:rsid w:val="004E0507"/>
    <w:rsid w:val="004E10C0"/>
    <w:rsid w:val="004E6191"/>
    <w:rsid w:val="004F41C9"/>
    <w:rsid w:val="004F4CFF"/>
    <w:rsid w:val="00512A90"/>
    <w:rsid w:val="00517610"/>
    <w:rsid w:val="005320D8"/>
    <w:rsid w:val="005413DF"/>
    <w:rsid w:val="00544B1E"/>
    <w:rsid w:val="00544BDE"/>
    <w:rsid w:val="0055279B"/>
    <w:rsid w:val="00557B6E"/>
    <w:rsid w:val="00566052"/>
    <w:rsid w:val="005854AC"/>
    <w:rsid w:val="00597A69"/>
    <w:rsid w:val="005A0BAE"/>
    <w:rsid w:val="005A0C2D"/>
    <w:rsid w:val="005A3CB2"/>
    <w:rsid w:val="005B1784"/>
    <w:rsid w:val="005B1B30"/>
    <w:rsid w:val="005B1FBE"/>
    <w:rsid w:val="005B4DE9"/>
    <w:rsid w:val="005C4E70"/>
    <w:rsid w:val="005F6CB7"/>
    <w:rsid w:val="00603204"/>
    <w:rsid w:val="0062214C"/>
    <w:rsid w:val="00656984"/>
    <w:rsid w:val="00684DB8"/>
    <w:rsid w:val="00687E6C"/>
    <w:rsid w:val="00690101"/>
    <w:rsid w:val="00692BE3"/>
    <w:rsid w:val="00694C3C"/>
    <w:rsid w:val="006A0BD6"/>
    <w:rsid w:val="006A2A83"/>
    <w:rsid w:val="006B430C"/>
    <w:rsid w:val="006C3649"/>
    <w:rsid w:val="006D34BF"/>
    <w:rsid w:val="006F5BDA"/>
    <w:rsid w:val="00702070"/>
    <w:rsid w:val="00705730"/>
    <w:rsid w:val="00713478"/>
    <w:rsid w:val="00732677"/>
    <w:rsid w:val="00736DFF"/>
    <w:rsid w:val="00737530"/>
    <w:rsid w:val="0074353E"/>
    <w:rsid w:val="00752AAE"/>
    <w:rsid w:val="00752E85"/>
    <w:rsid w:val="0075518F"/>
    <w:rsid w:val="00765A99"/>
    <w:rsid w:val="007751A1"/>
    <w:rsid w:val="00781336"/>
    <w:rsid w:val="007A6542"/>
    <w:rsid w:val="007C7695"/>
    <w:rsid w:val="007D3930"/>
    <w:rsid w:val="007E6CED"/>
    <w:rsid w:val="007F2B29"/>
    <w:rsid w:val="00804290"/>
    <w:rsid w:val="00810AE5"/>
    <w:rsid w:val="008415E0"/>
    <w:rsid w:val="00852564"/>
    <w:rsid w:val="00863E44"/>
    <w:rsid w:val="008700E4"/>
    <w:rsid w:val="00872C7E"/>
    <w:rsid w:val="00891003"/>
    <w:rsid w:val="008A7D9D"/>
    <w:rsid w:val="008B3FCF"/>
    <w:rsid w:val="008B6345"/>
    <w:rsid w:val="008D6101"/>
    <w:rsid w:val="008E5FD2"/>
    <w:rsid w:val="008F46FE"/>
    <w:rsid w:val="00903AAB"/>
    <w:rsid w:val="009127E1"/>
    <w:rsid w:val="00914B90"/>
    <w:rsid w:val="00917D29"/>
    <w:rsid w:val="009226A9"/>
    <w:rsid w:val="00923AE7"/>
    <w:rsid w:val="00953B9F"/>
    <w:rsid w:val="00960F77"/>
    <w:rsid w:val="00967387"/>
    <w:rsid w:val="00970888"/>
    <w:rsid w:val="0097440A"/>
    <w:rsid w:val="00974CAF"/>
    <w:rsid w:val="00990732"/>
    <w:rsid w:val="009A4518"/>
    <w:rsid w:val="009C2907"/>
    <w:rsid w:val="009F0F75"/>
    <w:rsid w:val="009F418B"/>
    <w:rsid w:val="009F4378"/>
    <w:rsid w:val="00A01FBD"/>
    <w:rsid w:val="00A15639"/>
    <w:rsid w:val="00A25333"/>
    <w:rsid w:val="00A366BE"/>
    <w:rsid w:val="00A463B6"/>
    <w:rsid w:val="00A478D6"/>
    <w:rsid w:val="00A5093A"/>
    <w:rsid w:val="00A51F29"/>
    <w:rsid w:val="00A865D4"/>
    <w:rsid w:val="00AA009F"/>
    <w:rsid w:val="00AA28AC"/>
    <w:rsid w:val="00AA68C7"/>
    <w:rsid w:val="00AB3653"/>
    <w:rsid w:val="00AC3293"/>
    <w:rsid w:val="00AC3723"/>
    <w:rsid w:val="00AC45C9"/>
    <w:rsid w:val="00AD3B5C"/>
    <w:rsid w:val="00AE329E"/>
    <w:rsid w:val="00AE7D65"/>
    <w:rsid w:val="00B109BE"/>
    <w:rsid w:val="00B10E8C"/>
    <w:rsid w:val="00B21BD9"/>
    <w:rsid w:val="00B23A63"/>
    <w:rsid w:val="00B307A2"/>
    <w:rsid w:val="00B47ADE"/>
    <w:rsid w:val="00B65278"/>
    <w:rsid w:val="00B6761A"/>
    <w:rsid w:val="00B75C98"/>
    <w:rsid w:val="00B83B70"/>
    <w:rsid w:val="00B87186"/>
    <w:rsid w:val="00BA4469"/>
    <w:rsid w:val="00BC5E8A"/>
    <w:rsid w:val="00BC60FB"/>
    <w:rsid w:val="00BE7B1E"/>
    <w:rsid w:val="00BF20A3"/>
    <w:rsid w:val="00C22D97"/>
    <w:rsid w:val="00C36CF3"/>
    <w:rsid w:val="00C45F6B"/>
    <w:rsid w:val="00C738ED"/>
    <w:rsid w:val="00C80E13"/>
    <w:rsid w:val="00C90AE1"/>
    <w:rsid w:val="00CB3944"/>
    <w:rsid w:val="00CB4A17"/>
    <w:rsid w:val="00CC00C6"/>
    <w:rsid w:val="00CC2176"/>
    <w:rsid w:val="00CD0311"/>
    <w:rsid w:val="00CD0886"/>
    <w:rsid w:val="00CE31D3"/>
    <w:rsid w:val="00CF3F9F"/>
    <w:rsid w:val="00D02E75"/>
    <w:rsid w:val="00D05C1E"/>
    <w:rsid w:val="00D0614E"/>
    <w:rsid w:val="00D160D3"/>
    <w:rsid w:val="00D20C0D"/>
    <w:rsid w:val="00D30656"/>
    <w:rsid w:val="00D3787E"/>
    <w:rsid w:val="00D445A9"/>
    <w:rsid w:val="00D54E46"/>
    <w:rsid w:val="00D6167C"/>
    <w:rsid w:val="00D65AC5"/>
    <w:rsid w:val="00D66A2E"/>
    <w:rsid w:val="00D9284B"/>
    <w:rsid w:val="00DA1BFB"/>
    <w:rsid w:val="00DC0165"/>
    <w:rsid w:val="00DE600F"/>
    <w:rsid w:val="00DF50A1"/>
    <w:rsid w:val="00DF5C63"/>
    <w:rsid w:val="00E073BC"/>
    <w:rsid w:val="00E112C8"/>
    <w:rsid w:val="00E14433"/>
    <w:rsid w:val="00E22585"/>
    <w:rsid w:val="00E33958"/>
    <w:rsid w:val="00E3708E"/>
    <w:rsid w:val="00E52DFC"/>
    <w:rsid w:val="00E542B4"/>
    <w:rsid w:val="00E66F88"/>
    <w:rsid w:val="00E779CF"/>
    <w:rsid w:val="00E84776"/>
    <w:rsid w:val="00E85670"/>
    <w:rsid w:val="00E93F0C"/>
    <w:rsid w:val="00E9523D"/>
    <w:rsid w:val="00EA1869"/>
    <w:rsid w:val="00EA1F60"/>
    <w:rsid w:val="00EB630B"/>
    <w:rsid w:val="00ED0910"/>
    <w:rsid w:val="00EE5473"/>
    <w:rsid w:val="00EF466A"/>
    <w:rsid w:val="00F135E2"/>
    <w:rsid w:val="00F1388B"/>
    <w:rsid w:val="00F23422"/>
    <w:rsid w:val="00F55F88"/>
    <w:rsid w:val="00F565CF"/>
    <w:rsid w:val="00F66E7A"/>
    <w:rsid w:val="00F7222C"/>
    <w:rsid w:val="00F72575"/>
    <w:rsid w:val="00F77C23"/>
    <w:rsid w:val="00F822F8"/>
    <w:rsid w:val="00F82F9C"/>
    <w:rsid w:val="00F838E1"/>
    <w:rsid w:val="00F920F0"/>
    <w:rsid w:val="00FD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24CF"/>
  <w15:chartTrackingRefBased/>
  <w15:docId w15:val="{A0429F43-769F-4E7D-917B-F0CBB1FD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A2A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A2A8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A2A83"/>
    <w:pPr>
      <w:widowControl w:val="0"/>
      <w:autoSpaceDE w:val="0"/>
      <w:autoSpaceDN w:val="0"/>
      <w:spacing w:after="0" w:line="240" w:lineRule="auto"/>
      <w:ind w:left="1580" w:hanging="304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66E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99"/>
    <w:rsid w:val="00597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6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630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74C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4CAF"/>
  </w:style>
  <w:style w:type="paragraph" w:styleId="ab">
    <w:name w:val="footer"/>
    <w:basedOn w:val="a"/>
    <w:link w:val="ac"/>
    <w:uiPriority w:val="99"/>
    <w:unhideWhenUsed/>
    <w:rsid w:val="00974C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4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7</Pages>
  <Words>10107</Words>
  <Characters>5761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Исаенко</dc:creator>
  <cp:keywords/>
  <dc:description/>
  <cp:lastModifiedBy>VNMR-58-Jaroslava</cp:lastModifiedBy>
  <cp:revision>197</cp:revision>
  <cp:lastPrinted>2025-09-16T12:36:00Z</cp:lastPrinted>
  <dcterms:created xsi:type="dcterms:W3CDTF">2025-08-14T09:20:00Z</dcterms:created>
  <dcterms:modified xsi:type="dcterms:W3CDTF">2025-09-22T06:58:00Z</dcterms:modified>
</cp:coreProperties>
</file>